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5601C" w14:textId="15756F58" w:rsidR="00364D08" w:rsidRDefault="00FC5A83">
      <w:r>
        <w:rPr>
          <w:rFonts w:asciiTheme="majorHAnsi" w:eastAsiaTheme="majorEastAsia" w:hAnsiTheme="majorHAnsi" w:cstheme="majorBidi"/>
          <w:b/>
          <w:bCs/>
          <w:noProof/>
          <w:sz w:val="40"/>
          <w:szCs w:val="40"/>
          <w:lang w:eastAsia="en-GB"/>
        </w:rPr>
        <w:drawing>
          <wp:anchor distT="0" distB="0" distL="114300" distR="114300" simplePos="0" relativeHeight="251658240" behindDoc="1" locked="0" layoutInCell="1" allowOverlap="1" wp14:anchorId="061E7524" wp14:editId="070E78FE">
            <wp:simplePos x="0" y="0"/>
            <wp:positionH relativeFrom="column">
              <wp:posOffset>7789091</wp:posOffset>
            </wp:positionH>
            <wp:positionV relativeFrom="paragraph">
              <wp:posOffset>-600982</wp:posOffset>
            </wp:positionV>
            <wp:extent cx="1209675" cy="12096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undel_court_logo_no_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page">
              <wp14:pctWidth>0</wp14:pctWidth>
            </wp14:sizeRelH>
            <wp14:sizeRelV relativeFrom="page">
              <wp14:pctHeight>0</wp14:pctHeight>
            </wp14:sizeRelV>
          </wp:anchor>
        </w:drawing>
      </w:r>
      <w:r w:rsidR="0037117A" w:rsidRPr="00364D08">
        <w:rPr>
          <w:rFonts w:ascii="Arial" w:hAnsi="Arial" w:cs="Arial"/>
          <w:b/>
        </w:rPr>
        <w:t xml:space="preserve"> </w:t>
      </w:r>
    </w:p>
    <w:p w14:paraId="1F54B77D" w14:textId="28353271" w:rsidR="000C1BE6" w:rsidRPr="0037117A" w:rsidRDefault="0037117A" w:rsidP="000C1BE6">
      <w:pPr>
        <w:rPr>
          <w:rFonts w:ascii="Arial" w:hAnsi="Arial" w:cs="Arial"/>
          <w:b/>
          <w:color w:val="A14F8C"/>
          <w:sz w:val="36"/>
          <w:szCs w:val="36"/>
        </w:rPr>
      </w:pPr>
      <w:bookmarkStart w:id="0" w:name="_Hlk44075217"/>
      <w:r w:rsidRPr="0037117A">
        <w:rPr>
          <w:rFonts w:ascii="Arial" w:hAnsi="Arial" w:cs="Arial"/>
          <w:b/>
          <w:color w:val="A14F8C"/>
          <w:sz w:val="36"/>
          <w:szCs w:val="36"/>
        </w:rPr>
        <w:t xml:space="preserve">PUPIL </w:t>
      </w:r>
      <w:r w:rsidR="005B3F62">
        <w:rPr>
          <w:rFonts w:ascii="Arial" w:hAnsi="Arial" w:cs="Arial"/>
          <w:b/>
          <w:color w:val="A14F8C"/>
          <w:sz w:val="36"/>
          <w:szCs w:val="36"/>
        </w:rPr>
        <w:t>COVID-19 CATCH-UP</w:t>
      </w:r>
      <w:r w:rsidRPr="0037117A">
        <w:rPr>
          <w:rFonts w:ascii="Arial" w:hAnsi="Arial" w:cs="Arial"/>
          <w:b/>
          <w:color w:val="A14F8C"/>
          <w:sz w:val="36"/>
          <w:szCs w:val="36"/>
        </w:rPr>
        <w:t xml:space="preserve"> STRATEGY STATEMENT</w:t>
      </w:r>
    </w:p>
    <w:p w14:paraId="100FFB6C" w14:textId="77777777" w:rsidR="000C1BE6" w:rsidRPr="00364D08" w:rsidRDefault="000C1BE6" w:rsidP="000C1BE6">
      <w:pPr>
        <w:rPr>
          <w:rFonts w:ascii="Arial" w:hAnsi="Arial" w:cs="Arial"/>
          <w: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784"/>
      </w:tblGrid>
      <w:tr w:rsidR="000C1BE6" w:rsidRPr="00C55758" w14:paraId="29517285" w14:textId="77777777" w:rsidTr="00C55758">
        <w:tc>
          <w:tcPr>
            <w:tcW w:w="6374" w:type="dxa"/>
          </w:tcPr>
          <w:p w14:paraId="37C8D0D2" w14:textId="05920E94" w:rsidR="00E30176" w:rsidRPr="00E30176" w:rsidRDefault="00027FAA" w:rsidP="00E30176">
            <w:pPr>
              <w:jc w:val="both"/>
              <w:rPr>
                <w:rFonts w:ascii="Arial" w:hAnsi="Arial" w:cs="Arial"/>
                <w:b/>
                <w:sz w:val="28"/>
                <w:szCs w:val="20"/>
              </w:rPr>
            </w:pPr>
            <w:r w:rsidRPr="00E30176">
              <w:rPr>
                <w:rFonts w:ascii="Arial" w:hAnsi="Arial" w:cs="Arial"/>
                <w:b/>
                <w:sz w:val="28"/>
                <w:szCs w:val="20"/>
              </w:rPr>
              <w:t>Arundel Court Primary Academy</w:t>
            </w:r>
          </w:p>
          <w:p w14:paraId="4D5654DE" w14:textId="77777777" w:rsidR="00E30176" w:rsidRPr="00E30176" w:rsidRDefault="00E30176" w:rsidP="00E30176">
            <w:pPr>
              <w:autoSpaceDE w:val="0"/>
              <w:autoSpaceDN w:val="0"/>
              <w:adjustRightInd w:val="0"/>
              <w:contextualSpacing/>
              <w:jc w:val="both"/>
              <w:rPr>
                <w:rFonts w:ascii="Arial" w:eastAsia="Times New Roman" w:hAnsi="Arial" w:cs="Arial"/>
                <w:sz w:val="16"/>
                <w:szCs w:val="20"/>
                <w:lang w:eastAsia="en-GB"/>
              </w:rPr>
            </w:pPr>
          </w:p>
          <w:p w14:paraId="5306E662" w14:textId="2DFFE73A" w:rsidR="00E30176" w:rsidRPr="00E30176" w:rsidRDefault="00E30176" w:rsidP="00E30176">
            <w:pPr>
              <w:autoSpaceDE w:val="0"/>
              <w:autoSpaceDN w:val="0"/>
              <w:adjustRightInd w:val="0"/>
              <w:contextualSpacing/>
              <w:rPr>
                <w:rFonts w:ascii="Arial" w:eastAsia="Times New Roman" w:hAnsi="Arial" w:cs="Arial"/>
                <w:sz w:val="16"/>
                <w:szCs w:val="20"/>
                <w:lang w:eastAsia="en-GB"/>
              </w:rPr>
            </w:pPr>
            <w:r w:rsidRPr="00E30176">
              <w:rPr>
                <w:rFonts w:ascii="Arial" w:eastAsia="Times New Roman" w:hAnsi="Arial" w:cs="Arial"/>
                <w:sz w:val="16"/>
                <w:szCs w:val="20"/>
                <w:lang w:eastAsia="en-GB"/>
              </w:rPr>
              <w:t xml:space="preserve">Children and young people across the country have experienced   unprecedented disruption to their education </w:t>
            </w:r>
            <w:proofErr w:type="gramStart"/>
            <w:r w:rsidRPr="00E30176">
              <w:rPr>
                <w:rFonts w:ascii="Arial" w:eastAsia="Times New Roman" w:hAnsi="Arial" w:cs="Arial"/>
                <w:sz w:val="16"/>
                <w:szCs w:val="20"/>
                <w:lang w:eastAsia="en-GB"/>
              </w:rPr>
              <w:t>as a result</w:t>
            </w:r>
            <w:proofErr w:type="gramEnd"/>
            <w:r w:rsidRPr="00E30176">
              <w:rPr>
                <w:rFonts w:ascii="Arial" w:eastAsia="Times New Roman" w:hAnsi="Arial" w:cs="Arial"/>
                <w:sz w:val="16"/>
                <w:szCs w:val="20"/>
                <w:lang w:eastAsia="en-GB"/>
              </w:rPr>
              <w:t xml:space="preserve"> of coronavirus (COVID-19). Those from the most vulnerable and disadvantaged backgrounds will be among those hardest hit. The aggregate impact of lost time in education will be substantial, and the scale of our response must match the scale of the challenge.</w:t>
            </w:r>
          </w:p>
          <w:p w14:paraId="4AC1309E" w14:textId="77777777" w:rsidR="00E30176" w:rsidRPr="00E30176" w:rsidRDefault="00E30176" w:rsidP="00E30176">
            <w:pPr>
              <w:autoSpaceDE w:val="0"/>
              <w:autoSpaceDN w:val="0"/>
              <w:adjustRightInd w:val="0"/>
              <w:contextualSpacing/>
              <w:rPr>
                <w:rFonts w:ascii="Arial" w:eastAsia="Times New Roman" w:hAnsi="Arial" w:cs="Arial"/>
                <w:sz w:val="16"/>
                <w:szCs w:val="20"/>
                <w:lang w:eastAsia="en-GB"/>
              </w:rPr>
            </w:pPr>
          </w:p>
          <w:p w14:paraId="7072F044" w14:textId="19764246" w:rsidR="00E30176" w:rsidRPr="00E30176" w:rsidRDefault="00E30176" w:rsidP="00E30176">
            <w:pPr>
              <w:autoSpaceDE w:val="0"/>
              <w:autoSpaceDN w:val="0"/>
              <w:adjustRightInd w:val="0"/>
              <w:contextualSpacing/>
              <w:rPr>
                <w:rFonts w:ascii="Arial" w:eastAsia="Times New Roman" w:hAnsi="Arial" w:cs="Arial"/>
                <w:sz w:val="16"/>
                <w:szCs w:val="20"/>
                <w:lang w:eastAsia="en-GB"/>
              </w:rPr>
            </w:pPr>
            <w:r w:rsidRPr="00E30176">
              <w:rPr>
                <w:rFonts w:ascii="Arial" w:eastAsia="Times New Roman" w:hAnsi="Arial" w:cs="Arial"/>
                <w:sz w:val="16"/>
                <w:szCs w:val="20"/>
                <w:lang w:eastAsia="en-GB"/>
              </w:rPr>
              <w:t xml:space="preserve">Schools’ allocations </w:t>
            </w:r>
            <w:proofErr w:type="gramStart"/>
            <w:r w:rsidRPr="00E30176">
              <w:rPr>
                <w:rFonts w:ascii="Arial" w:eastAsia="Times New Roman" w:hAnsi="Arial" w:cs="Arial"/>
                <w:sz w:val="16"/>
                <w:szCs w:val="20"/>
                <w:lang w:eastAsia="en-GB"/>
              </w:rPr>
              <w:t>will be calculated</w:t>
            </w:r>
            <w:proofErr w:type="gramEnd"/>
            <w:r w:rsidRPr="00E30176">
              <w:rPr>
                <w:rFonts w:ascii="Arial" w:eastAsia="Times New Roman" w:hAnsi="Arial" w:cs="Arial"/>
                <w:sz w:val="16"/>
                <w:szCs w:val="20"/>
                <w:lang w:eastAsia="en-GB"/>
              </w:rPr>
              <w:t xml:space="preserve"> on a per pupil basis, providing each mainstream school with a total of £80 for each pupil in years Year R to Year 11.</w:t>
            </w:r>
          </w:p>
          <w:p w14:paraId="04785CDD" w14:textId="77777777" w:rsidR="00E30176" w:rsidRPr="00E30176" w:rsidRDefault="00E30176" w:rsidP="00E30176">
            <w:pPr>
              <w:autoSpaceDE w:val="0"/>
              <w:autoSpaceDN w:val="0"/>
              <w:adjustRightInd w:val="0"/>
              <w:contextualSpacing/>
              <w:rPr>
                <w:rFonts w:ascii="Arial" w:eastAsia="Times New Roman" w:hAnsi="Arial" w:cs="Arial"/>
                <w:sz w:val="16"/>
                <w:szCs w:val="20"/>
                <w:lang w:eastAsia="en-GB"/>
              </w:rPr>
            </w:pPr>
          </w:p>
          <w:p w14:paraId="6DB99184" w14:textId="188F3D04" w:rsidR="00E30176" w:rsidRPr="00E30176" w:rsidRDefault="00E30176" w:rsidP="00E30176">
            <w:pPr>
              <w:rPr>
                <w:rFonts w:ascii="Arial" w:hAnsi="Arial" w:cs="Arial"/>
                <w:sz w:val="20"/>
                <w:szCs w:val="20"/>
              </w:rPr>
            </w:pPr>
            <w:r w:rsidRPr="00E30176">
              <w:rPr>
                <w:rFonts w:ascii="Arial" w:eastAsia="Times New Roman" w:hAnsi="Arial" w:cs="Arial"/>
                <w:sz w:val="16"/>
                <w:szCs w:val="20"/>
                <w:lang w:eastAsia="en-GB"/>
              </w:rPr>
              <w:t xml:space="preserve">As the catch-up premium </w:t>
            </w:r>
            <w:proofErr w:type="gramStart"/>
            <w:r w:rsidRPr="00E30176">
              <w:rPr>
                <w:rFonts w:ascii="Arial" w:eastAsia="Times New Roman" w:hAnsi="Arial" w:cs="Arial"/>
                <w:sz w:val="16"/>
                <w:szCs w:val="20"/>
                <w:lang w:eastAsia="en-GB"/>
              </w:rPr>
              <w:t>has been designed</w:t>
            </w:r>
            <w:proofErr w:type="gramEnd"/>
            <w:r w:rsidRPr="00E30176">
              <w:rPr>
                <w:rFonts w:ascii="Arial" w:eastAsia="Times New Roman" w:hAnsi="Arial" w:cs="Arial"/>
                <w:sz w:val="16"/>
                <w:szCs w:val="20"/>
                <w:lang w:eastAsia="en-GB"/>
              </w:rPr>
              <w:t xml:space="preserve"> to mitigate the effects of the unique disruption caused by coronavirus (COVID-19), the grant will only be available for the 2020 to 2021 academic year. It </w:t>
            </w:r>
            <w:proofErr w:type="gramStart"/>
            <w:r w:rsidRPr="00E30176">
              <w:rPr>
                <w:rFonts w:ascii="Arial" w:eastAsia="Times New Roman" w:hAnsi="Arial" w:cs="Arial"/>
                <w:sz w:val="16"/>
                <w:szCs w:val="20"/>
                <w:lang w:eastAsia="en-GB"/>
              </w:rPr>
              <w:t>will not be added</w:t>
            </w:r>
            <w:proofErr w:type="gramEnd"/>
            <w:r w:rsidRPr="00E30176">
              <w:rPr>
                <w:rFonts w:ascii="Arial" w:eastAsia="Times New Roman" w:hAnsi="Arial" w:cs="Arial"/>
                <w:sz w:val="16"/>
                <w:szCs w:val="20"/>
                <w:lang w:eastAsia="en-GB"/>
              </w:rPr>
              <w:t xml:space="preserve"> to schools’ baselines in calculating future years’ funding allocations.</w:t>
            </w:r>
          </w:p>
        </w:tc>
        <w:tc>
          <w:tcPr>
            <w:tcW w:w="2784" w:type="dxa"/>
          </w:tcPr>
          <w:p w14:paraId="0310747C" w14:textId="746D7CAA" w:rsidR="000C1BE6" w:rsidRPr="00C55758" w:rsidRDefault="000C1BE6" w:rsidP="000C1BE6">
            <w:pPr>
              <w:rPr>
                <w:rFonts w:ascii="Arial" w:hAnsi="Arial" w:cs="Arial"/>
                <w:b/>
                <w:sz w:val="40"/>
                <w:szCs w:val="40"/>
              </w:rPr>
            </w:pPr>
          </w:p>
        </w:tc>
      </w:tr>
    </w:tbl>
    <w:p w14:paraId="34A31802" w14:textId="77777777" w:rsidR="000C1BE6" w:rsidRPr="00364D08" w:rsidRDefault="000C1BE6" w:rsidP="000C1BE6">
      <w:pPr>
        <w:rPr>
          <w:rFonts w:ascii="Arial" w:hAnsi="Arial" w:cs="Arial"/>
          <w:b/>
        </w:rPr>
      </w:pPr>
    </w:p>
    <w:bookmarkEnd w:id="0"/>
    <w:p w14:paraId="6FDCDE57" w14:textId="77777777" w:rsidR="003E3DBF" w:rsidRPr="0037117A" w:rsidRDefault="000C1BE6" w:rsidP="007A7DF0">
      <w:pPr>
        <w:rPr>
          <w:rFonts w:ascii="Arial" w:hAnsi="Arial" w:cs="Arial"/>
          <w:b/>
          <w:color w:val="A14F8C"/>
        </w:rPr>
      </w:pPr>
      <w:r w:rsidRPr="0037117A">
        <w:rPr>
          <w:rFonts w:ascii="Arial" w:hAnsi="Arial" w:cs="Arial"/>
          <w:b/>
          <w:color w:val="A14F8C"/>
        </w:rPr>
        <w:t>SCHOOL OVERVIEW</w:t>
      </w:r>
    </w:p>
    <w:p w14:paraId="074A92BD" w14:textId="77777777" w:rsidR="000C1BE6" w:rsidRPr="00364D08" w:rsidRDefault="000C1BE6" w:rsidP="007A7DF0">
      <w:pPr>
        <w:rPr>
          <w:rFonts w:ascii="Arial" w:hAnsi="Arial" w:cs="Arial"/>
        </w:rPr>
      </w:pPr>
    </w:p>
    <w:tbl>
      <w:tblPr>
        <w:tblW w:w="9493" w:type="dxa"/>
        <w:tblCellMar>
          <w:left w:w="10" w:type="dxa"/>
          <w:right w:w="10" w:type="dxa"/>
        </w:tblCellMar>
        <w:tblLook w:val="04A0" w:firstRow="1" w:lastRow="0" w:firstColumn="1" w:lastColumn="0" w:noHBand="0" w:noVBand="1"/>
      </w:tblPr>
      <w:tblGrid>
        <w:gridCol w:w="4815"/>
        <w:gridCol w:w="4678"/>
      </w:tblGrid>
      <w:tr w:rsidR="000C1BE6" w:rsidRPr="00364D08" w14:paraId="5E363DDC" w14:textId="77777777" w:rsidTr="008206D4">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2EC1C20" w14:textId="77777777" w:rsidR="000C1BE6" w:rsidRPr="00364D08" w:rsidRDefault="000C1BE6" w:rsidP="008206D4">
            <w:pPr>
              <w:pStyle w:val="TableRow"/>
              <w:rPr>
                <w:rFonts w:cs="Arial"/>
                <w:b/>
                <w:sz w:val="22"/>
                <w:szCs w:val="22"/>
              </w:rPr>
            </w:pPr>
            <w:r w:rsidRPr="00364D08">
              <w:rPr>
                <w:rFonts w:cs="Arial"/>
                <w:b/>
                <w:sz w:val="22"/>
                <w:szCs w:val="22"/>
              </w:rPr>
              <w:t>Metric</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FFCBB2" w14:textId="77777777" w:rsidR="000C1BE6" w:rsidRPr="00364D08" w:rsidRDefault="000C1BE6" w:rsidP="008206D4">
            <w:pPr>
              <w:pStyle w:val="TableRow"/>
              <w:rPr>
                <w:rFonts w:cs="Arial"/>
                <w:b/>
                <w:sz w:val="22"/>
                <w:szCs w:val="22"/>
              </w:rPr>
            </w:pPr>
            <w:r w:rsidRPr="00364D08">
              <w:rPr>
                <w:rFonts w:cs="Arial"/>
                <w:b/>
                <w:sz w:val="22"/>
                <w:szCs w:val="22"/>
              </w:rPr>
              <w:t>Data</w:t>
            </w:r>
          </w:p>
        </w:tc>
      </w:tr>
      <w:tr w:rsidR="000C1BE6" w:rsidRPr="00364D08" w14:paraId="18746A71" w14:textId="77777777" w:rsidTr="008206D4">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F004BA" w14:textId="77777777" w:rsidR="000C1BE6" w:rsidRPr="00364D08" w:rsidRDefault="000C1BE6" w:rsidP="008206D4">
            <w:pPr>
              <w:pStyle w:val="TableRow"/>
              <w:ind w:left="0"/>
              <w:rPr>
                <w:rFonts w:cs="Arial"/>
                <w:sz w:val="22"/>
                <w:szCs w:val="22"/>
              </w:rPr>
            </w:pPr>
            <w:r w:rsidRPr="00364D08">
              <w:rPr>
                <w:rFonts w:cs="Arial"/>
                <w:sz w:val="22"/>
                <w:szCs w:val="22"/>
              </w:rPr>
              <w:t xml:space="preserve"> School name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FF22B50" w14:textId="127478DB" w:rsidR="000C1BE6" w:rsidRPr="00364D08" w:rsidRDefault="004C148C" w:rsidP="008206D4">
            <w:pPr>
              <w:pStyle w:val="TableRow"/>
              <w:rPr>
                <w:rFonts w:cs="Arial"/>
              </w:rPr>
            </w:pPr>
            <w:r>
              <w:rPr>
                <w:rFonts w:cs="Arial"/>
              </w:rPr>
              <w:t>Arundel Court Primary Academy</w:t>
            </w:r>
          </w:p>
        </w:tc>
      </w:tr>
      <w:tr w:rsidR="000C1BE6" w:rsidRPr="00364D08" w14:paraId="55591216" w14:textId="77777777" w:rsidTr="008206D4">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242460" w14:textId="77777777" w:rsidR="000C1BE6" w:rsidRPr="00364D08" w:rsidRDefault="000C1BE6" w:rsidP="008206D4">
            <w:pPr>
              <w:pStyle w:val="TableRow"/>
              <w:rPr>
                <w:rFonts w:cs="Arial"/>
                <w:sz w:val="22"/>
                <w:szCs w:val="22"/>
              </w:rPr>
            </w:pPr>
            <w:r w:rsidRPr="00364D08">
              <w:rPr>
                <w:rFonts w:cs="Arial"/>
                <w:sz w:val="22"/>
                <w:szCs w:val="22"/>
              </w:rPr>
              <w:t>Pupils in school</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69460FA" w14:textId="7EF728C6" w:rsidR="000C1BE6" w:rsidRPr="00364D08" w:rsidRDefault="00E30176" w:rsidP="004C148C">
            <w:pPr>
              <w:pStyle w:val="TableRow"/>
              <w:ind w:left="0"/>
              <w:rPr>
                <w:rFonts w:cs="Arial"/>
              </w:rPr>
            </w:pPr>
            <w:r>
              <w:rPr>
                <w:rFonts w:cs="Arial"/>
              </w:rPr>
              <w:t>543 (600</w:t>
            </w:r>
            <w:r w:rsidR="0039474B">
              <w:rPr>
                <w:rFonts w:cs="Arial"/>
              </w:rPr>
              <w:t xml:space="preserve"> with nursery)</w:t>
            </w:r>
          </w:p>
        </w:tc>
      </w:tr>
      <w:tr w:rsidR="000C1BE6" w:rsidRPr="00364D08" w14:paraId="749A642B" w14:textId="77777777" w:rsidTr="008206D4">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517C9D5" w14:textId="77777777" w:rsidR="000C1BE6" w:rsidRPr="00364D08" w:rsidRDefault="000C1BE6" w:rsidP="008206D4">
            <w:pPr>
              <w:pStyle w:val="TableRow"/>
              <w:rPr>
                <w:rFonts w:cs="Arial"/>
                <w:sz w:val="22"/>
                <w:szCs w:val="22"/>
              </w:rPr>
            </w:pPr>
            <w:r w:rsidRPr="00364D08">
              <w:rPr>
                <w:rFonts w:cs="Arial"/>
                <w:sz w:val="22"/>
                <w:szCs w:val="22"/>
              </w:rPr>
              <w:t>Proportion of disadvantaged pupils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CA6C32E" w14:textId="30D1EE80" w:rsidR="000C1BE6" w:rsidRPr="00364D08" w:rsidRDefault="0039474B" w:rsidP="008206D4">
            <w:pPr>
              <w:pStyle w:val="TableRow"/>
              <w:rPr>
                <w:rFonts w:cs="Arial"/>
              </w:rPr>
            </w:pPr>
            <w:r>
              <w:rPr>
                <w:rFonts w:cs="Arial"/>
              </w:rPr>
              <w:t>60% (303 pupils)</w:t>
            </w:r>
          </w:p>
        </w:tc>
      </w:tr>
      <w:tr w:rsidR="005B3F62" w:rsidRPr="00364D08" w14:paraId="43569140" w14:textId="77777777" w:rsidTr="008206D4">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0CBC5E" w14:textId="49761CBD" w:rsidR="005B3F62" w:rsidRPr="00364D08" w:rsidRDefault="005B3F62" w:rsidP="008206D4">
            <w:pPr>
              <w:pStyle w:val="TableRow"/>
              <w:rPr>
                <w:rFonts w:cs="Arial"/>
                <w:sz w:val="22"/>
                <w:szCs w:val="22"/>
              </w:rPr>
            </w:pPr>
            <w:r>
              <w:rPr>
                <w:rFonts w:cs="Arial"/>
                <w:sz w:val="22"/>
                <w:szCs w:val="22"/>
              </w:rPr>
              <w:t>Proportion of vulnerable pupils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DA30DD6" w14:textId="0F4910D4" w:rsidR="005B3F62" w:rsidRPr="00364D08" w:rsidRDefault="0039474B" w:rsidP="008206D4">
            <w:pPr>
              <w:pStyle w:val="TableRow"/>
              <w:rPr>
                <w:rFonts w:cs="Arial"/>
              </w:rPr>
            </w:pPr>
            <w:r>
              <w:rPr>
                <w:rFonts w:cs="Arial"/>
              </w:rPr>
              <w:t>19% (115 pupils)</w:t>
            </w:r>
          </w:p>
        </w:tc>
      </w:tr>
      <w:tr w:rsidR="000C1BE6" w:rsidRPr="00364D08" w14:paraId="43CFB99A" w14:textId="77777777" w:rsidTr="008206D4">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201C91E" w14:textId="1E837923" w:rsidR="000C1BE6" w:rsidRPr="00364D08" w:rsidRDefault="005B3F62" w:rsidP="008206D4">
            <w:pPr>
              <w:pStyle w:val="TableRow"/>
              <w:rPr>
                <w:rFonts w:cs="Arial"/>
                <w:sz w:val="22"/>
                <w:szCs w:val="22"/>
              </w:rPr>
            </w:pPr>
            <w:r>
              <w:rPr>
                <w:rFonts w:cs="Arial"/>
                <w:sz w:val="22"/>
                <w:szCs w:val="22"/>
              </w:rPr>
              <w:t>Catch-up premium funding</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98D7BB5" w14:textId="3FC6B1DF" w:rsidR="000C1BE6" w:rsidRPr="00364D08" w:rsidRDefault="00A0442B" w:rsidP="008206D4">
            <w:pPr>
              <w:pStyle w:val="TableRow"/>
              <w:rPr>
                <w:rFonts w:cs="Arial"/>
              </w:rPr>
            </w:pPr>
            <w:r>
              <w:rPr>
                <w:rFonts w:cs="Arial"/>
              </w:rPr>
              <w:t>£42,8</w:t>
            </w:r>
            <w:r w:rsidR="00906CAE">
              <w:rPr>
                <w:rFonts w:cs="Arial"/>
              </w:rPr>
              <w:t>00</w:t>
            </w:r>
          </w:p>
        </w:tc>
      </w:tr>
      <w:tr w:rsidR="000C1BE6" w:rsidRPr="00364D08" w14:paraId="5D8751DA" w14:textId="77777777" w:rsidTr="008206D4">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E9B40A" w14:textId="77777777" w:rsidR="000C1BE6" w:rsidRPr="00364D08" w:rsidRDefault="000C1BE6" w:rsidP="008206D4">
            <w:pPr>
              <w:pStyle w:val="TableRow"/>
              <w:rPr>
                <w:rFonts w:cs="Arial"/>
                <w:sz w:val="22"/>
                <w:szCs w:val="22"/>
              </w:rPr>
            </w:pPr>
            <w:r w:rsidRPr="00364D08">
              <w:rPr>
                <w:rFonts w:cs="Arial"/>
                <w:sz w:val="22"/>
                <w:szCs w:val="22"/>
              </w:rPr>
              <w:t>Publish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AC8C19" w14:textId="5ED88773" w:rsidR="000C1BE6" w:rsidRPr="00364D08" w:rsidRDefault="00E30176" w:rsidP="008206D4">
            <w:pPr>
              <w:pStyle w:val="TableRow"/>
              <w:rPr>
                <w:rFonts w:cs="Arial"/>
              </w:rPr>
            </w:pPr>
            <w:r>
              <w:rPr>
                <w:rFonts w:cs="Arial"/>
              </w:rPr>
              <w:t>Nov 27</w:t>
            </w:r>
            <w:r w:rsidRPr="00E30176">
              <w:rPr>
                <w:rFonts w:cs="Arial"/>
                <w:vertAlign w:val="superscript"/>
              </w:rPr>
              <w:t>th</w:t>
            </w:r>
            <w:r>
              <w:rPr>
                <w:rFonts w:cs="Arial"/>
              </w:rPr>
              <w:t xml:space="preserve"> 2020</w:t>
            </w:r>
          </w:p>
        </w:tc>
      </w:tr>
      <w:tr w:rsidR="000C1BE6" w:rsidRPr="00364D08" w14:paraId="642C4550" w14:textId="77777777" w:rsidTr="008206D4">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5C0FEF" w14:textId="77777777" w:rsidR="000C1BE6" w:rsidRPr="00364D08" w:rsidRDefault="000C1BE6" w:rsidP="008206D4">
            <w:pPr>
              <w:pStyle w:val="TableRow"/>
              <w:rPr>
                <w:rFonts w:cs="Arial"/>
                <w:sz w:val="22"/>
                <w:szCs w:val="22"/>
              </w:rPr>
            </w:pPr>
            <w:r w:rsidRPr="00364D08">
              <w:rPr>
                <w:rFonts w:cs="Arial"/>
                <w:sz w:val="22"/>
                <w:szCs w:val="22"/>
              </w:rPr>
              <w:t>Review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DC0158" w14:textId="58E237B3" w:rsidR="000C1BE6" w:rsidRPr="00364D08" w:rsidRDefault="00E30176" w:rsidP="006A3C4F">
            <w:pPr>
              <w:pStyle w:val="TableRow"/>
              <w:rPr>
                <w:rFonts w:cs="Arial"/>
              </w:rPr>
            </w:pPr>
            <w:r>
              <w:rPr>
                <w:rFonts w:cs="Arial"/>
              </w:rPr>
              <w:t>April 202</w:t>
            </w:r>
            <w:r w:rsidR="006A3C4F">
              <w:rPr>
                <w:rFonts w:cs="Arial"/>
              </w:rPr>
              <w:t>1</w:t>
            </w:r>
            <w:bookmarkStart w:id="1" w:name="_GoBack"/>
            <w:bookmarkEnd w:id="1"/>
          </w:p>
        </w:tc>
      </w:tr>
      <w:tr w:rsidR="000C1BE6" w:rsidRPr="00364D08" w14:paraId="29B9EB02" w14:textId="77777777" w:rsidTr="008206D4">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16BFEAF" w14:textId="77777777" w:rsidR="000C1BE6" w:rsidRPr="00364D08" w:rsidRDefault="000C1BE6" w:rsidP="008206D4">
            <w:pPr>
              <w:pStyle w:val="TableRow"/>
              <w:rPr>
                <w:rFonts w:cs="Arial"/>
                <w:sz w:val="22"/>
                <w:szCs w:val="22"/>
              </w:rPr>
            </w:pPr>
            <w:r w:rsidRPr="00364D08">
              <w:rPr>
                <w:rFonts w:cs="Arial"/>
                <w:sz w:val="22"/>
                <w:szCs w:val="22"/>
              </w:rPr>
              <w:t>Statement authorised by</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7163346" w14:textId="51591495" w:rsidR="000C1BE6" w:rsidRPr="00364D08" w:rsidRDefault="00E30176" w:rsidP="008206D4">
            <w:pPr>
              <w:pStyle w:val="TableRow"/>
              <w:rPr>
                <w:rFonts w:cs="Arial"/>
              </w:rPr>
            </w:pPr>
            <w:r>
              <w:rPr>
                <w:rFonts w:cs="Arial"/>
              </w:rPr>
              <w:t>Karen Stocks</w:t>
            </w:r>
          </w:p>
        </w:tc>
      </w:tr>
      <w:tr w:rsidR="000C1BE6" w:rsidRPr="00364D08" w14:paraId="6A47274E" w14:textId="77777777" w:rsidTr="008206D4">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C7978D4" w14:textId="0B6113B7" w:rsidR="000C1BE6" w:rsidRPr="00364D08" w:rsidRDefault="005B3F62" w:rsidP="008206D4">
            <w:pPr>
              <w:pStyle w:val="TableRow"/>
              <w:rPr>
                <w:rFonts w:cs="Arial"/>
                <w:sz w:val="22"/>
                <w:szCs w:val="22"/>
              </w:rPr>
            </w:pPr>
            <w:r>
              <w:rPr>
                <w:rFonts w:cs="Arial"/>
                <w:sz w:val="22"/>
                <w:szCs w:val="22"/>
              </w:rPr>
              <w:t xml:space="preserve">Catch-up </w:t>
            </w:r>
            <w:r w:rsidR="000C1BE6" w:rsidRPr="00364D08">
              <w:rPr>
                <w:rFonts w:cs="Arial"/>
                <w:sz w:val="22"/>
                <w:szCs w:val="22"/>
              </w:rPr>
              <w:t xml:space="preserve"> premium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1D3355" w14:textId="2FBD8C1D" w:rsidR="000C1BE6" w:rsidRPr="00364D08" w:rsidRDefault="00E30176" w:rsidP="008206D4">
            <w:pPr>
              <w:pStyle w:val="TableRow"/>
              <w:rPr>
                <w:rFonts w:cs="Arial"/>
              </w:rPr>
            </w:pPr>
            <w:r>
              <w:rPr>
                <w:rFonts w:cs="Arial"/>
              </w:rPr>
              <w:t>Kirsty Dixon &amp; Anitha Venugopal</w:t>
            </w:r>
          </w:p>
        </w:tc>
      </w:tr>
      <w:tr w:rsidR="000C1BE6" w:rsidRPr="00364D08" w14:paraId="3D98AA26" w14:textId="77777777" w:rsidTr="008206D4">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BBDCF6" w14:textId="77777777" w:rsidR="000C1BE6" w:rsidRPr="00364D08" w:rsidRDefault="000C1BE6" w:rsidP="008206D4">
            <w:pPr>
              <w:pStyle w:val="TableRow"/>
              <w:rPr>
                <w:rFonts w:cs="Arial"/>
                <w:sz w:val="22"/>
                <w:szCs w:val="22"/>
              </w:rPr>
            </w:pPr>
            <w:r w:rsidRPr="00364D08">
              <w:rPr>
                <w:rFonts w:cs="Arial"/>
                <w:sz w:val="22"/>
                <w:szCs w:val="22"/>
              </w:rPr>
              <w:lastRenderedPageBreak/>
              <w:t>Governor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18AC59" w14:textId="78372728" w:rsidR="000C1BE6" w:rsidRPr="00364D08" w:rsidRDefault="004C148C" w:rsidP="008206D4">
            <w:pPr>
              <w:pStyle w:val="TableRow"/>
              <w:rPr>
                <w:rFonts w:cs="Arial"/>
              </w:rPr>
            </w:pPr>
            <w:r>
              <w:rPr>
                <w:rFonts w:cs="Arial"/>
              </w:rPr>
              <w:t xml:space="preserve">Mother Charlotte Hetherington </w:t>
            </w:r>
          </w:p>
        </w:tc>
      </w:tr>
    </w:tbl>
    <w:p w14:paraId="24C44926" w14:textId="77777777" w:rsidR="000C1BE6" w:rsidRPr="00364D08" w:rsidRDefault="000C1BE6" w:rsidP="007A7DF0">
      <w:pPr>
        <w:rPr>
          <w:rFonts w:ascii="Arial" w:hAnsi="Arial" w:cs="Arial"/>
        </w:rPr>
      </w:pPr>
    </w:p>
    <w:p w14:paraId="3F2787D1" w14:textId="369B497C" w:rsidR="0041053F" w:rsidRDefault="0041053F" w:rsidP="007A7DF0">
      <w:pPr>
        <w:rPr>
          <w:rFonts w:ascii="Arial" w:hAnsi="Arial" w:cs="Arial"/>
          <w:b/>
          <w:color w:val="A14F8C"/>
        </w:rPr>
      </w:pPr>
      <w:r>
        <w:rPr>
          <w:rFonts w:ascii="Arial" w:hAnsi="Arial" w:cs="Arial"/>
          <w:b/>
          <w:color w:val="A14F8C"/>
        </w:rPr>
        <w:t>TEACHER ASSESSMENT AT MARCH 2020</w:t>
      </w:r>
      <w:r w:rsidR="009A0D3A">
        <w:rPr>
          <w:rFonts w:ascii="Arial" w:hAnsi="Arial" w:cs="Arial"/>
          <w:b/>
          <w:color w:val="A14F8C"/>
        </w:rPr>
        <w:t xml:space="preserve"> </w:t>
      </w:r>
    </w:p>
    <w:p w14:paraId="51F715ED" w14:textId="0F11132C" w:rsidR="0041053F" w:rsidRDefault="0041053F" w:rsidP="007A7DF0">
      <w:pPr>
        <w:rPr>
          <w:rFonts w:ascii="Arial" w:hAnsi="Arial" w:cs="Arial"/>
          <w:b/>
          <w:color w:val="A14F8C"/>
        </w:rPr>
      </w:pPr>
    </w:p>
    <w:tbl>
      <w:tblPr>
        <w:tblW w:w="9493" w:type="dxa"/>
        <w:tblCellMar>
          <w:left w:w="10" w:type="dxa"/>
          <w:right w:w="10" w:type="dxa"/>
        </w:tblCellMar>
        <w:tblLook w:val="04A0" w:firstRow="1" w:lastRow="0" w:firstColumn="1" w:lastColumn="0" w:noHBand="0" w:noVBand="1"/>
      </w:tblPr>
      <w:tblGrid>
        <w:gridCol w:w="4815"/>
        <w:gridCol w:w="1559"/>
        <w:gridCol w:w="1559"/>
        <w:gridCol w:w="1560"/>
      </w:tblGrid>
      <w:tr w:rsidR="0041053F" w14:paraId="3545E426" w14:textId="77777777" w:rsidTr="0041053F">
        <w:trPr>
          <w:trHeight w:val="381"/>
        </w:trPr>
        <w:tc>
          <w:tcPr>
            <w:tcW w:w="4815" w:type="dxa"/>
            <w:tcBorders>
              <w:top w:val="single" w:sz="4" w:space="0" w:color="BFBFBF"/>
              <w:left w:val="single" w:sz="4" w:space="0" w:color="BFBFBF"/>
              <w:bottom w:val="single" w:sz="4" w:space="0" w:color="BFBFBF"/>
              <w:right w:val="single" w:sz="4" w:space="0" w:color="BFBFBF" w:themeColor="background1" w:themeShade="BF"/>
            </w:tcBorders>
            <w:tcMar>
              <w:top w:w="0" w:type="dxa"/>
              <w:left w:w="108" w:type="dxa"/>
              <w:bottom w:w="0" w:type="dxa"/>
              <w:right w:w="108" w:type="dxa"/>
            </w:tcMar>
            <w:hideMark/>
          </w:tcPr>
          <w:p w14:paraId="6CE23619" w14:textId="77777777" w:rsidR="0041053F" w:rsidRDefault="0041053F">
            <w:pPr>
              <w:pStyle w:val="TableRow"/>
              <w:spacing w:line="256" w:lineRule="auto"/>
              <w:rPr>
                <w:lang w:eastAsia="en-US"/>
              </w:rPr>
            </w:pPr>
            <w:r>
              <w:rPr>
                <w:b/>
                <w:sz w:val="22"/>
                <w:szCs w:val="22"/>
                <w:lang w:eastAsia="en-US"/>
              </w:rPr>
              <w:t>Measure (based on March 2020)</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14:paraId="3D42611B" w14:textId="4B6EB3CD" w:rsidR="0041053F" w:rsidRPr="0039474B" w:rsidRDefault="0041053F">
            <w:pPr>
              <w:pStyle w:val="TableRow"/>
              <w:spacing w:line="256" w:lineRule="auto"/>
              <w:rPr>
                <w:b/>
                <w:lang w:eastAsia="en-US"/>
              </w:rPr>
            </w:pPr>
            <w:r w:rsidRPr="0039474B">
              <w:rPr>
                <w:b/>
                <w:lang w:eastAsia="en-US"/>
              </w:rPr>
              <w:t>Reading</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9424BF" w14:textId="2EAA4542" w:rsidR="0041053F" w:rsidRPr="0039474B" w:rsidRDefault="0041053F">
            <w:pPr>
              <w:pStyle w:val="TableRow"/>
              <w:spacing w:line="256" w:lineRule="auto"/>
              <w:rPr>
                <w:b/>
                <w:lang w:eastAsia="en-US"/>
              </w:rPr>
            </w:pPr>
            <w:r w:rsidRPr="0039474B">
              <w:rPr>
                <w:b/>
                <w:lang w:eastAsia="en-US"/>
              </w:rPr>
              <w:t>Writing</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52885A" w14:textId="77777777" w:rsidR="0041053F" w:rsidRPr="0039474B" w:rsidRDefault="0041053F">
            <w:pPr>
              <w:pStyle w:val="TableRow"/>
              <w:spacing w:line="256" w:lineRule="auto"/>
              <w:rPr>
                <w:b/>
                <w:lang w:eastAsia="en-US"/>
              </w:rPr>
            </w:pPr>
            <w:r w:rsidRPr="0039474B">
              <w:rPr>
                <w:b/>
                <w:lang w:eastAsia="en-US"/>
              </w:rPr>
              <w:t>Maths</w:t>
            </w:r>
          </w:p>
        </w:tc>
      </w:tr>
      <w:tr w:rsidR="004C0305" w14:paraId="569A27BF" w14:textId="77777777" w:rsidTr="00310859">
        <w:trPr>
          <w:trHeight w:val="381"/>
        </w:trPr>
        <w:tc>
          <w:tcPr>
            <w:tcW w:w="9493" w:type="dxa"/>
            <w:gridSpan w:val="4"/>
            <w:tcBorders>
              <w:top w:val="single" w:sz="4" w:space="0" w:color="BFBFBF"/>
              <w:left w:val="single" w:sz="4" w:space="0" w:color="BFBFBF"/>
              <w:bottom w:val="single" w:sz="4" w:space="0" w:color="BFBFBF"/>
              <w:right w:val="single" w:sz="4" w:space="0" w:color="BFBFBF" w:themeColor="background1" w:themeShade="BF"/>
            </w:tcBorders>
            <w:tcMar>
              <w:top w:w="0" w:type="dxa"/>
              <w:left w:w="108" w:type="dxa"/>
              <w:bottom w:w="0" w:type="dxa"/>
              <w:right w:w="108" w:type="dxa"/>
            </w:tcMar>
          </w:tcPr>
          <w:p w14:paraId="163DA972" w14:textId="3A8A5DAE" w:rsidR="004C0305" w:rsidRPr="00214AFE" w:rsidRDefault="004C0305">
            <w:pPr>
              <w:pStyle w:val="TableRow"/>
              <w:spacing w:line="256" w:lineRule="auto"/>
              <w:rPr>
                <w:b/>
                <w:sz w:val="22"/>
                <w:szCs w:val="22"/>
                <w:lang w:eastAsia="en-US"/>
              </w:rPr>
            </w:pPr>
            <w:r>
              <w:rPr>
                <w:b/>
                <w:sz w:val="22"/>
                <w:szCs w:val="22"/>
                <w:lang w:eastAsia="en-US"/>
              </w:rPr>
              <w:t>Current Y2</w:t>
            </w:r>
          </w:p>
        </w:tc>
      </w:tr>
      <w:tr w:rsidR="0041053F" w14:paraId="51BD2B0C" w14:textId="77777777" w:rsidTr="0041053F">
        <w:trPr>
          <w:trHeight w:val="381"/>
        </w:trPr>
        <w:tc>
          <w:tcPr>
            <w:tcW w:w="4815" w:type="dxa"/>
            <w:tcBorders>
              <w:top w:val="single" w:sz="4" w:space="0" w:color="BFBFBF"/>
              <w:left w:val="single" w:sz="4" w:space="0" w:color="BFBFBF"/>
              <w:bottom w:val="single" w:sz="4" w:space="0" w:color="BFBFBF"/>
              <w:right w:val="single" w:sz="4" w:space="0" w:color="BFBFBF" w:themeColor="background1" w:themeShade="BF"/>
            </w:tcBorders>
            <w:tcMar>
              <w:top w:w="0" w:type="dxa"/>
              <w:left w:w="108" w:type="dxa"/>
              <w:bottom w:w="0" w:type="dxa"/>
              <w:right w:w="108" w:type="dxa"/>
            </w:tcMar>
          </w:tcPr>
          <w:p w14:paraId="7896CF9C" w14:textId="44348A5F" w:rsidR="0041053F" w:rsidRPr="001E6428" w:rsidRDefault="0041053F" w:rsidP="0041053F">
            <w:pPr>
              <w:pStyle w:val="TableRow"/>
              <w:spacing w:line="256" w:lineRule="auto"/>
              <w:rPr>
                <w:b/>
                <w:color w:val="FF0000"/>
                <w:sz w:val="22"/>
                <w:szCs w:val="22"/>
                <w:lang w:eastAsia="en-US"/>
              </w:rPr>
            </w:pPr>
            <w:r>
              <w:rPr>
                <w:rFonts w:cs="Calibri"/>
                <w:sz w:val="22"/>
                <w:szCs w:val="22"/>
                <w:lang w:eastAsia="en-US"/>
              </w:rPr>
              <w:t>Working at ARE</w:t>
            </w:r>
            <w:r w:rsidR="001E6428">
              <w:rPr>
                <w:rFonts w:cs="Calibri"/>
                <w:sz w:val="22"/>
                <w:szCs w:val="22"/>
                <w:lang w:eastAsia="en-US"/>
              </w:rPr>
              <w:t xml:space="preserve"> </w:t>
            </w:r>
            <w:r w:rsidR="001E6428" w:rsidRPr="0065676C">
              <w:rPr>
                <w:rFonts w:cs="Calibri"/>
                <w:color w:val="FF0000"/>
                <w:sz w:val="16"/>
                <w:szCs w:val="22"/>
                <w:lang w:eastAsia="en-US"/>
              </w:rPr>
              <w:t>predicted for end of year</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4CA77AC6" w14:textId="1639CB7A" w:rsidR="0041053F" w:rsidRPr="00906CAE" w:rsidRDefault="003B2F0C" w:rsidP="0041053F">
            <w:pPr>
              <w:pStyle w:val="TableRow"/>
              <w:spacing w:line="256" w:lineRule="auto"/>
              <w:rPr>
                <w:sz w:val="22"/>
                <w:szCs w:val="22"/>
                <w:lang w:eastAsia="en-US"/>
              </w:rPr>
            </w:pPr>
            <w:r>
              <w:rPr>
                <w:sz w:val="22"/>
                <w:szCs w:val="22"/>
                <w:lang w:eastAsia="en-US"/>
              </w:rPr>
              <w:t>68</w:t>
            </w:r>
            <w:r w:rsidR="004C0305" w:rsidRPr="00906CAE">
              <w:rPr>
                <w:sz w:val="22"/>
                <w:szCs w:val="22"/>
                <w:lang w:eastAsia="en-US"/>
              </w:rPr>
              <w:t>%</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1DD55F" w14:textId="32B1ADBF" w:rsidR="0041053F" w:rsidRPr="00906CAE" w:rsidRDefault="003B2F0C" w:rsidP="0041053F">
            <w:pPr>
              <w:pStyle w:val="TableRow"/>
              <w:spacing w:line="256" w:lineRule="auto"/>
              <w:rPr>
                <w:sz w:val="22"/>
                <w:szCs w:val="22"/>
                <w:lang w:eastAsia="en-US"/>
              </w:rPr>
            </w:pPr>
            <w:r>
              <w:rPr>
                <w:sz w:val="22"/>
                <w:szCs w:val="22"/>
                <w:lang w:eastAsia="en-US"/>
              </w:rPr>
              <w:t>55</w:t>
            </w:r>
            <w:r w:rsidR="004C0305" w:rsidRPr="00906CAE">
              <w:rPr>
                <w:sz w:val="22"/>
                <w:szCs w:val="22"/>
                <w:lang w:eastAsia="en-US"/>
              </w:rPr>
              <w:t>%</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8F7661" w14:textId="0D3FBECB" w:rsidR="0041053F" w:rsidRPr="00906CAE" w:rsidRDefault="003B2F0C" w:rsidP="0041053F">
            <w:pPr>
              <w:pStyle w:val="TableRow"/>
              <w:spacing w:line="256" w:lineRule="auto"/>
              <w:rPr>
                <w:sz w:val="22"/>
                <w:szCs w:val="22"/>
                <w:lang w:eastAsia="en-US"/>
              </w:rPr>
            </w:pPr>
            <w:r>
              <w:rPr>
                <w:sz w:val="22"/>
                <w:szCs w:val="22"/>
                <w:lang w:eastAsia="en-US"/>
              </w:rPr>
              <w:t>61</w:t>
            </w:r>
            <w:r w:rsidR="004C0305" w:rsidRPr="00906CAE">
              <w:rPr>
                <w:sz w:val="22"/>
                <w:szCs w:val="22"/>
                <w:lang w:eastAsia="en-US"/>
              </w:rPr>
              <w:t>%</w:t>
            </w:r>
          </w:p>
        </w:tc>
      </w:tr>
      <w:tr w:rsidR="0041053F" w14:paraId="0FAFC0CA" w14:textId="77777777" w:rsidTr="0041053F">
        <w:trPr>
          <w:trHeight w:val="381"/>
        </w:trPr>
        <w:tc>
          <w:tcPr>
            <w:tcW w:w="4815" w:type="dxa"/>
            <w:tcBorders>
              <w:top w:val="single" w:sz="4" w:space="0" w:color="BFBFBF"/>
              <w:left w:val="single" w:sz="4" w:space="0" w:color="BFBFBF"/>
              <w:bottom w:val="single" w:sz="4" w:space="0" w:color="BFBFBF"/>
              <w:right w:val="single" w:sz="4" w:space="0" w:color="BFBFBF" w:themeColor="background1" w:themeShade="BF"/>
            </w:tcBorders>
            <w:tcMar>
              <w:top w:w="0" w:type="dxa"/>
              <w:left w:w="108" w:type="dxa"/>
              <w:bottom w:w="0" w:type="dxa"/>
              <w:right w:w="108" w:type="dxa"/>
            </w:tcMar>
          </w:tcPr>
          <w:p w14:paraId="51578486" w14:textId="27D4C641" w:rsidR="0041053F" w:rsidRDefault="0041053F" w:rsidP="0041053F">
            <w:pPr>
              <w:pStyle w:val="TableRow"/>
              <w:spacing w:line="256" w:lineRule="auto"/>
              <w:rPr>
                <w:b/>
                <w:sz w:val="22"/>
                <w:szCs w:val="22"/>
                <w:lang w:eastAsia="en-US"/>
              </w:rPr>
            </w:pPr>
            <w:r>
              <w:rPr>
                <w:rFonts w:cs="Calibri"/>
                <w:sz w:val="22"/>
                <w:szCs w:val="22"/>
                <w:lang w:eastAsia="en-US"/>
              </w:rPr>
              <w:t>Working at GDS</w:t>
            </w:r>
            <w:r w:rsidR="001E6428">
              <w:rPr>
                <w:rFonts w:cs="Calibri"/>
                <w:sz w:val="22"/>
                <w:szCs w:val="22"/>
                <w:lang w:eastAsia="en-US"/>
              </w:rPr>
              <w:t xml:space="preserve"> </w:t>
            </w:r>
            <w:r w:rsidR="0065676C" w:rsidRPr="0065676C">
              <w:rPr>
                <w:rFonts w:cs="Calibri"/>
                <w:color w:val="FF0000"/>
                <w:sz w:val="16"/>
                <w:szCs w:val="22"/>
                <w:lang w:eastAsia="en-US"/>
              </w:rPr>
              <w:t>predicted for end of year</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2583DCD3" w14:textId="0D50E2D2" w:rsidR="0041053F" w:rsidRPr="00906CAE" w:rsidRDefault="004C0305" w:rsidP="0041053F">
            <w:pPr>
              <w:pStyle w:val="TableRow"/>
              <w:spacing w:line="256" w:lineRule="auto"/>
              <w:rPr>
                <w:sz w:val="22"/>
                <w:szCs w:val="22"/>
                <w:lang w:eastAsia="en-US"/>
              </w:rPr>
            </w:pPr>
            <w:r w:rsidRPr="00906CAE">
              <w:rPr>
                <w:sz w:val="22"/>
                <w:szCs w:val="22"/>
                <w:lang w:eastAsia="en-US"/>
              </w:rPr>
              <w:t>4%</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BB63D1" w14:textId="7486C8B1" w:rsidR="0041053F" w:rsidRPr="00906CAE" w:rsidRDefault="004C0305" w:rsidP="0041053F">
            <w:pPr>
              <w:pStyle w:val="TableRow"/>
              <w:spacing w:line="256" w:lineRule="auto"/>
              <w:rPr>
                <w:sz w:val="22"/>
                <w:szCs w:val="22"/>
                <w:lang w:eastAsia="en-US"/>
              </w:rPr>
            </w:pPr>
            <w:r w:rsidRPr="00906CAE">
              <w:rPr>
                <w:sz w:val="22"/>
                <w:szCs w:val="22"/>
                <w:lang w:eastAsia="en-US"/>
              </w:rPr>
              <w:t>4%</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F1289D" w14:textId="53D62C26" w:rsidR="0041053F" w:rsidRPr="00906CAE" w:rsidRDefault="004C0305" w:rsidP="0041053F">
            <w:pPr>
              <w:pStyle w:val="TableRow"/>
              <w:spacing w:line="256" w:lineRule="auto"/>
              <w:rPr>
                <w:sz w:val="22"/>
                <w:szCs w:val="22"/>
                <w:lang w:eastAsia="en-US"/>
              </w:rPr>
            </w:pPr>
            <w:r w:rsidRPr="00906CAE">
              <w:rPr>
                <w:sz w:val="22"/>
                <w:szCs w:val="22"/>
                <w:lang w:eastAsia="en-US"/>
              </w:rPr>
              <w:t>6%</w:t>
            </w:r>
          </w:p>
        </w:tc>
      </w:tr>
      <w:tr w:rsidR="004C0305" w14:paraId="3020003D" w14:textId="77777777" w:rsidTr="00FD673A">
        <w:trPr>
          <w:trHeight w:val="381"/>
        </w:trPr>
        <w:tc>
          <w:tcPr>
            <w:tcW w:w="9493" w:type="dxa"/>
            <w:gridSpan w:val="4"/>
            <w:tcBorders>
              <w:top w:val="single" w:sz="4" w:space="0" w:color="BFBFBF"/>
              <w:left w:val="single" w:sz="4" w:space="0" w:color="BFBFBF"/>
              <w:bottom w:val="single" w:sz="4" w:space="0" w:color="BFBFBF"/>
              <w:right w:val="single" w:sz="4" w:space="0" w:color="BFBFBF" w:themeColor="background1" w:themeShade="BF"/>
            </w:tcBorders>
            <w:tcMar>
              <w:top w:w="0" w:type="dxa"/>
              <w:left w:w="108" w:type="dxa"/>
              <w:bottom w:w="0" w:type="dxa"/>
              <w:right w:w="108" w:type="dxa"/>
            </w:tcMar>
            <w:hideMark/>
          </w:tcPr>
          <w:p w14:paraId="1E409EFD" w14:textId="76B5D377" w:rsidR="004C0305" w:rsidRPr="00214AFE" w:rsidRDefault="004C0305" w:rsidP="0041053F">
            <w:pPr>
              <w:pStyle w:val="TableRow"/>
              <w:spacing w:line="256" w:lineRule="auto"/>
              <w:rPr>
                <w:b/>
                <w:sz w:val="22"/>
                <w:szCs w:val="22"/>
                <w:lang w:eastAsia="en-US"/>
              </w:rPr>
            </w:pPr>
            <w:r>
              <w:rPr>
                <w:b/>
                <w:sz w:val="22"/>
                <w:szCs w:val="22"/>
                <w:lang w:eastAsia="en-US"/>
              </w:rPr>
              <w:t>Current Year 3</w:t>
            </w:r>
          </w:p>
        </w:tc>
      </w:tr>
      <w:tr w:rsidR="001E6428" w14:paraId="7CFED195" w14:textId="77777777" w:rsidTr="0041053F">
        <w:trPr>
          <w:trHeight w:val="381"/>
        </w:trPr>
        <w:tc>
          <w:tcPr>
            <w:tcW w:w="4815" w:type="dxa"/>
            <w:tcBorders>
              <w:top w:val="single" w:sz="4" w:space="0" w:color="BFBFBF"/>
              <w:left w:val="single" w:sz="4" w:space="0" w:color="BFBFBF"/>
              <w:bottom w:val="single" w:sz="4" w:space="0" w:color="BFBFBF"/>
              <w:right w:val="single" w:sz="4" w:space="0" w:color="BFBFBF" w:themeColor="background1" w:themeShade="BF"/>
            </w:tcBorders>
            <w:tcMar>
              <w:top w:w="0" w:type="dxa"/>
              <w:left w:w="108" w:type="dxa"/>
              <w:bottom w:w="0" w:type="dxa"/>
              <w:right w:w="108" w:type="dxa"/>
            </w:tcMar>
            <w:hideMark/>
          </w:tcPr>
          <w:p w14:paraId="56B60411" w14:textId="61459878" w:rsidR="001E6428" w:rsidRDefault="001E6428" w:rsidP="001E6428">
            <w:pPr>
              <w:pStyle w:val="TableRow"/>
              <w:spacing w:line="256" w:lineRule="auto"/>
              <w:rPr>
                <w:rFonts w:cs="Calibri"/>
                <w:sz w:val="22"/>
                <w:szCs w:val="22"/>
                <w:lang w:eastAsia="en-US"/>
              </w:rPr>
            </w:pPr>
            <w:r>
              <w:rPr>
                <w:rFonts w:cs="Calibri"/>
                <w:sz w:val="22"/>
                <w:szCs w:val="22"/>
                <w:lang w:eastAsia="en-US"/>
              </w:rPr>
              <w:t>Meeting expected standard at KS1</w:t>
            </w:r>
            <w:r w:rsidR="004C0305">
              <w:rPr>
                <w:rFonts w:cs="Calibri"/>
                <w:color w:val="FF0000"/>
                <w:sz w:val="22"/>
                <w:szCs w:val="22"/>
                <w:lang w:eastAsia="en-US"/>
              </w:rPr>
              <w:t xml:space="preserve"> </w:t>
            </w:r>
            <w:r w:rsidR="0065676C" w:rsidRPr="0065676C">
              <w:rPr>
                <w:rFonts w:cs="Calibri"/>
                <w:color w:val="FF0000"/>
                <w:sz w:val="16"/>
                <w:szCs w:val="22"/>
                <w:lang w:eastAsia="en-US"/>
              </w:rPr>
              <w:t>predicted for end of year</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1FC6ED33" w14:textId="54D2AEAA" w:rsidR="001E6428" w:rsidRPr="00906CAE" w:rsidRDefault="0065676C" w:rsidP="001E6428">
            <w:pPr>
              <w:pStyle w:val="TableRow"/>
              <w:spacing w:line="256" w:lineRule="auto"/>
              <w:rPr>
                <w:sz w:val="22"/>
                <w:szCs w:val="22"/>
                <w:lang w:eastAsia="en-US"/>
              </w:rPr>
            </w:pPr>
            <w:r w:rsidRPr="00906CAE">
              <w:rPr>
                <w:sz w:val="22"/>
                <w:szCs w:val="22"/>
                <w:lang w:eastAsia="en-US"/>
              </w:rPr>
              <w:t>6</w:t>
            </w:r>
            <w:r w:rsidR="00C66ED3">
              <w:rPr>
                <w:sz w:val="22"/>
                <w:szCs w:val="22"/>
                <w:lang w:eastAsia="en-US"/>
              </w:rPr>
              <w:t>6</w:t>
            </w:r>
            <w:r w:rsidRPr="00906CAE">
              <w:rPr>
                <w:sz w:val="22"/>
                <w:szCs w:val="22"/>
                <w:lang w:eastAsia="en-US"/>
              </w:rPr>
              <w:t>%</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867C05" w14:textId="5C33ADFC" w:rsidR="001E6428" w:rsidRPr="00906CAE" w:rsidRDefault="00C66ED3" w:rsidP="001E6428">
            <w:pPr>
              <w:pStyle w:val="TableRow"/>
              <w:spacing w:line="256" w:lineRule="auto"/>
              <w:rPr>
                <w:sz w:val="22"/>
                <w:szCs w:val="22"/>
                <w:lang w:eastAsia="en-US"/>
              </w:rPr>
            </w:pPr>
            <w:r>
              <w:rPr>
                <w:sz w:val="22"/>
                <w:szCs w:val="22"/>
                <w:lang w:eastAsia="en-US"/>
              </w:rPr>
              <w:t>49</w:t>
            </w:r>
            <w:r w:rsidR="0065676C" w:rsidRPr="00906CAE">
              <w:rPr>
                <w:sz w:val="22"/>
                <w:szCs w:val="22"/>
                <w:lang w:eastAsia="en-US"/>
              </w:rPr>
              <w:t>%</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509207" w14:textId="2881E2D6" w:rsidR="001E6428" w:rsidRPr="00906CAE" w:rsidRDefault="0065676C" w:rsidP="001E6428">
            <w:pPr>
              <w:pStyle w:val="TableRow"/>
              <w:spacing w:line="256" w:lineRule="auto"/>
              <w:rPr>
                <w:sz w:val="22"/>
                <w:szCs w:val="22"/>
                <w:lang w:eastAsia="en-US"/>
              </w:rPr>
            </w:pPr>
            <w:r w:rsidRPr="00906CAE">
              <w:rPr>
                <w:sz w:val="22"/>
                <w:szCs w:val="22"/>
                <w:lang w:eastAsia="en-US"/>
              </w:rPr>
              <w:t>6</w:t>
            </w:r>
            <w:r w:rsidR="00820F8C">
              <w:rPr>
                <w:sz w:val="22"/>
                <w:szCs w:val="22"/>
                <w:lang w:eastAsia="en-US"/>
              </w:rPr>
              <w:t>3</w:t>
            </w:r>
            <w:r w:rsidRPr="00906CAE">
              <w:rPr>
                <w:sz w:val="22"/>
                <w:szCs w:val="22"/>
                <w:lang w:eastAsia="en-US"/>
              </w:rPr>
              <w:t>%</w:t>
            </w:r>
          </w:p>
        </w:tc>
      </w:tr>
      <w:tr w:rsidR="0041053F" w14:paraId="59A35D63" w14:textId="77777777" w:rsidTr="0041053F">
        <w:trPr>
          <w:trHeight w:val="381"/>
        </w:trPr>
        <w:tc>
          <w:tcPr>
            <w:tcW w:w="4815" w:type="dxa"/>
            <w:tcBorders>
              <w:top w:val="single" w:sz="4" w:space="0" w:color="BFBFBF"/>
              <w:left w:val="single" w:sz="4" w:space="0" w:color="BFBFBF"/>
              <w:bottom w:val="single" w:sz="4" w:space="0" w:color="BFBFBF"/>
              <w:right w:val="single" w:sz="4" w:space="0" w:color="BFBFBF" w:themeColor="background1" w:themeShade="BF"/>
            </w:tcBorders>
            <w:tcMar>
              <w:top w:w="0" w:type="dxa"/>
              <w:left w:w="108" w:type="dxa"/>
              <w:bottom w:w="0" w:type="dxa"/>
              <w:right w:w="108" w:type="dxa"/>
            </w:tcMar>
            <w:hideMark/>
          </w:tcPr>
          <w:p w14:paraId="56BB466D" w14:textId="339CD80C" w:rsidR="0041053F" w:rsidRDefault="0041053F" w:rsidP="0041053F">
            <w:pPr>
              <w:pStyle w:val="TableRow"/>
              <w:spacing w:line="256" w:lineRule="auto"/>
              <w:rPr>
                <w:rFonts w:cs="Calibri"/>
                <w:sz w:val="22"/>
                <w:szCs w:val="22"/>
                <w:lang w:eastAsia="en-US"/>
              </w:rPr>
            </w:pPr>
            <w:r>
              <w:rPr>
                <w:rFonts w:cs="Calibri"/>
                <w:sz w:val="22"/>
                <w:szCs w:val="22"/>
                <w:lang w:eastAsia="en-US"/>
              </w:rPr>
              <w:t>Achieving high standard at KS1</w:t>
            </w:r>
            <w:r w:rsidR="004C0305">
              <w:rPr>
                <w:rFonts w:cs="Calibri"/>
                <w:color w:val="FF0000"/>
                <w:sz w:val="22"/>
                <w:szCs w:val="22"/>
                <w:lang w:eastAsia="en-US"/>
              </w:rPr>
              <w:t xml:space="preserve"> </w:t>
            </w:r>
            <w:r w:rsidR="0065676C" w:rsidRPr="0065676C">
              <w:rPr>
                <w:rFonts w:cs="Calibri"/>
                <w:color w:val="FF0000"/>
                <w:sz w:val="16"/>
                <w:szCs w:val="22"/>
                <w:lang w:eastAsia="en-US"/>
              </w:rPr>
              <w:t>predicted for end of year</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6989A2D4" w14:textId="4EE1732D" w:rsidR="0041053F" w:rsidRPr="00906CAE" w:rsidRDefault="0065676C" w:rsidP="0041053F">
            <w:pPr>
              <w:pStyle w:val="TableRow"/>
              <w:spacing w:line="256" w:lineRule="auto"/>
              <w:rPr>
                <w:sz w:val="22"/>
                <w:szCs w:val="22"/>
                <w:lang w:eastAsia="en-US"/>
              </w:rPr>
            </w:pPr>
            <w:r w:rsidRPr="00906CAE">
              <w:rPr>
                <w:sz w:val="22"/>
                <w:szCs w:val="22"/>
                <w:lang w:eastAsia="en-US"/>
              </w:rPr>
              <w:t>16%</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389A0C" w14:textId="08F7173E" w:rsidR="0041053F" w:rsidRPr="00906CAE" w:rsidRDefault="0065676C" w:rsidP="0041053F">
            <w:pPr>
              <w:pStyle w:val="TableRow"/>
              <w:spacing w:line="256" w:lineRule="auto"/>
              <w:rPr>
                <w:sz w:val="22"/>
                <w:szCs w:val="22"/>
                <w:lang w:eastAsia="en-US"/>
              </w:rPr>
            </w:pPr>
            <w:r w:rsidRPr="00906CAE">
              <w:rPr>
                <w:sz w:val="22"/>
                <w:szCs w:val="22"/>
                <w:lang w:eastAsia="en-US"/>
              </w:rPr>
              <w:t>8%</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7AA1F0" w14:textId="76FB1451" w:rsidR="0041053F" w:rsidRPr="00906CAE" w:rsidRDefault="0065676C" w:rsidP="0041053F">
            <w:pPr>
              <w:pStyle w:val="TableRow"/>
              <w:spacing w:line="256" w:lineRule="auto"/>
              <w:rPr>
                <w:sz w:val="22"/>
                <w:szCs w:val="22"/>
                <w:lang w:eastAsia="en-US"/>
              </w:rPr>
            </w:pPr>
            <w:r w:rsidRPr="00906CAE">
              <w:rPr>
                <w:sz w:val="22"/>
                <w:szCs w:val="22"/>
                <w:lang w:eastAsia="en-US"/>
              </w:rPr>
              <w:t>11%</w:t>
            </w:r>
          </w:p>
        </w:tc>
      </w:tr>
      <w:tr w:rsidR="004C0305" w14:paraId="6D0D9D08" w14:textId="77777777" w:rsidTr="00432753">
        <w:trPr>
          <w:trHeight w:val="381"/>
        </w:trPr>
        <w:tc>
          <w:tcPr>
            <w:tcW w:w="9493" w:type="dxa"/>
            <w:gridSpan w:val="4"/>
            <w:tcBorders>
              <w:top w:val="single" w:sz="4" w:space="0" w:color="BFBFBF"/>
              <w:left w:val="single" w:sz="4" w:space="0" w:color="BFBFBF"/>
              <w:bottom w:val="single" w:sz="4" w:space="0" w:color="BFBFBF"/>
              <w:right w:val="single" w:sz="4" w:space="0" w:color="BFBFBF" w:themeColor="background1" w:themeShade="BF"/>
            </w:tcBorders>
            <w:tcMar>
              <w:top w:w="0" w:type="dxa"/>
              <w:left w:w="108" w:type="dxa"/>
              <w:bottom w:w="0" w:type="dxa"/>
              <w:right w:w="108" w:type="dxa"/>
            </w:tcMar>
            <w:hideMark/>
          </w:tcPr>
          <w:p w14:paraId="3E3E09E0" w14:textId="5CEFA3E3" w:rsidR="004C0305" w:rsidRPr="00214AFE" w:rsidRDefault="004C0305" w:rsidP="0041053F">
            <w:pPr>
              <w:pStyle w:val="TableRow"/>
              <w:spacing w:line="256" w:lineRule="auto"/>
              <w:rPr>
                <w:b/>
                <w:sz w:val="22"/>
                <w:szCs w:val="22"/>
                <w:lang w:eastAsia="en-US"/>
              </w:rPr>
            </w:pPr>
            <w:r>
              <w:rPr>
                <w:rFonts w:cs="Calibri"/>
                <w:b/>
                <w:sz w:val="22"/>
                <w:szCs w:val="22"/>
                <w:lang w:eastAsia="en-US"/>
              </w:rPr>
              <w:t>Current Year 4</w:t>
            </w:r>
          </w:p>
        </w:tc>
      </w:tr>
      <w:tr w:rsidR="0041053F" w14:paraId="3D283448" w14:textId="77777777" w:rsidTr="0041053F">
        <w:trPr>
          <w:trHeight w:val="381"/>
        </w:trPr>
        <w:tc>
          <w:tcPr>
            <w:tcW w:w="4815" w:type="dxa"/>
            <w:tcBorders>
              <w:top w:val="single" w:sz="4" w:space="0" w:color="BFBFBF"/>
              <w:left w:val="single" w:sz="4" w:space="0" w:color="BFBFBF"/>
              <w:bottom w:val="single" w:sz="4" w:space="0" w:color="BFBFBF"/>
              <w:right w:val="single" w:sz="4" w:space="0" w:color="BFBFBF" w:themeColor="background1" w:themeShade="BF"/>
            </w:tcBorders>
            <w:tcMar>
              <w:top w:w="0" w:type="dxa"/>
              <w:left w:w="108" w:type="dxa"/>
              <w:bottom w:w="0" w:type="dxa"/>
              <w:right w:w="108" w:type="dxa"/>
            </w:tcMar>
            <w:hideMark/>
          </w:tcPr>
          <w:p w14:paraId="3E4E20C3" w14:textId="1346F79F" w:rsidR="0041053F" w:rsidRDefault="0041053F" w:rsidP="0041053F">
            <w:pPr>
              <w:pStyle w:val="TableRow"/>
              <w:spacing w:line="256" w:lineRule="auto"/>
              <w:rPr>
                <w:rFonts w:cs="Calibri"/>
                <w:sz w:val="22"/>
                <w:szCs w:val="22"/>
                <w:lang w:eastAsia="en-US"/>
              </w:rPr>
            </w:pPr>
            <w:r>
              <w:rPr>
                <w:rFonts w:cs="Calibri"/>
                <w:sz w:val="22"/>
                <w:szCs w:val="22"/>
                <w:lang w:eastAsia="en-US"/>
              </w:rPr>
              <w:t>Working at ARE</w:t>
            </w:r>
            <w:r w:rsidR="001E6428">
              <w:rPr>
                <w:rFonts w:cs="Calibri"/>
                <w:sz w:val="22"/>
                <w:szCs w:val="22"/>
                <w:lang w:eastAsia="en-US"/>
              </w:rPr>
              <w:t xml:space="preserve"> </w:t>
            </w:r>
            <w:r w:rsidR="0065676C" w:rsidRPr="0065676C">
              <w:rPr>
                <w:rFonts w:cs="Calibri"/>
                <w:color w:val="FF0000"/>
                <w:sz w:val="16"/>
                <w:szCs w:val="22"/>
                <w:lang w:eastAsia="en-US"/>
              </w:rPr>
              <w:t>predicted for end of year</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564B9F32" w14:textId="26BCC89C" w:rsidR="0041053F" w:rsidRPr="00906CAE" w:rsidRDefault="0065676C" w:rsidP="0041053F">
            <w:pPr>
              <w:pStyle w:val="TableRow"/>
              <w:spacing w:line="256" w:lineRule="auto"/>
              <w:rPr>
                <w:sz w:val="22"/>
                <w:szCs w:val="22"/>
                <w:lang w:eastAsia="en-US"/>
              </w:rPr>
            </w:pPr>
            <w:r w:rsidRPr="00906CAE">
              <w:rPr>
                <w:sz w:val="22"/>
                <w:szCs w:val="22"/>
                <w:lang w:eastAsia="en-US"/>
              </w:rPr>
              <w:t>70%</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273082" w14:textId="45A062A7" w:rsidR="0041053F" w:rsidRPr="00906CAE" w:rsidRDefault="0065676C" w:rsidP="0041053F">
            <w:pPr>
              <w:pStyle w:val="TableRow"/>
              <w:spacing w:line="256" w:lineRule="auto"/>
              <w:rPr>
                <w:sz w:val="22"/>
                <w:szCs w:val="22"/>
                <w:lang w:eastAsia="en-US"/>
              </w:rPr>
            </w:pPr>
            <w:r w:rsidRPr="00906CAE">
              <w:rPr>
                <w:sz w:val="22"/>
                <w:szCs w:val="22"/>
                <w:lang w:eastAsia="en-US"/>
              </w:rPr>
              <w:t>65%</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7CC1EB" w14:textId="6C121793" w:rsidR="0041053F" w:rsidRPr="00906CAE" w:rsidRDefault="0065676C" w:rsidP="0041053F">
            <w:pPr>
              <w:pStyle w:val="TableRow"/>
              <w:spacing w:line="256" w:lineRule="auto"/>
              <w:rPr>
                <w:sz w:val="22"/>
                <w:szCs w:val="22"/>
                <w:lang w:eastAsia="en-US"/>
              </w:rPr>
            </w:pPr>
            <w:r w:rsidRPr="00906CAE">
              <w:rPr>
                <w:sz w:val="22"/>
                <w:szCs w:val="22"/>
                <w:lang w:eastAsia="en-US"/>
              </w:rPr>
              <w:t>69%</w:t>
            </w:r>
          </w:p>
        </w:tc>
      </w:tr>
      <w:tr w:rsidR="0041053F" w14:paraId="0490704B" w14:textId="77777777" w:rsidTr="0041053F">
        <w:trPr>
          <w:trHeight w:val="381"/>
        </w:trPr>
        <w:tc>
          <w:tcPr>
            <w:tcW w:w="4815" w:type="dxa"/>
            <w:tcBorders>
              <w:top w:val="single" w:sz="4" w:space="0" w:color="BFBFBF"/>
              <w:left w:val="single" w:sz="4" w:space="0" w:color="BFBFBF"/>
              <w:bottom w:val="single" w:sz="4" w:space="0" w:color="BFBFBF"/>
              <w:right w:val="single" w:sz="4" w:space="0" w:color="BFBFBF" w:themeColor="background1" w:themeShade="BF"/>
            </w:tcBorders>
            <w:tcMar>
              <w:top w:w="0" w:type="dxa"/>
              <w:left w:w="108" w:type="dxa"/>
              <w:bottom w:w="0" w:type="dxa"/>
              <w:right w:w="108" w:type="dxa"/>
            </w:tcMar>
            <w:hideMark/>
          </w:tcPr>
          <w:p w14:paraId="4A6A74D0" w14:textId="52C4F60E" w:rsidR="0041053F" w:rsidRDefault="0041053F" w:rsidP="0041053F">
            <w:pPr>
              <w:pStyle w:val="TableRow"/>
              <w:spacing w:line="256" w:lineRule="auto"/>
              <w:rPr>
                <w:rFonts w:cs="Calibri"/>
                <w:sz w:val="22"/>
                <w:szCs w:val="22"/>
                <w:lang w:eastAsia="en-US"/>
              </w:rPr>
            </w:pPr>
            <w:r>
              <w:rPr>
                <w:rFonts w:cs="Calibri"/>
                <w:sz w:val="22"/>
                <w:szCs w:val="22"/>
                <w:lang w:eastAsia="en-US"/>
              </w:rPr>
              <w:t>Working at GDS</w:t>
            </w:r>
            <w:r w:rsidR="001E6428">
              <w:rPr>
                <w:rFonts w:cs="Calibri"/>
                <w:sz w:val="22"/>
                <w:szCs w:val="22"/>
                <w:lang w:eastAsia="en-US"/>
              </w:rPr>
              <w:t xml:space="preserve"> </w:t>
            </w:r>
            <w:r w:rsidR="0065676C" w:rsidRPr="0065676C">
              <w:rPr>
                <w:rFonts w:cs="Calibri"/>
                <w:color w:val="FF0000"/>
                <w:sz w:val="16"/>
                <w:szCs w:val="22"/>
                <w:lang w:eastAsia="en-US"/>
              </w:rPr>
              <w:t>predicted for end of year</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7110346A" w14:textId="66449D97" w:rsidR="0041053F" w:rsidRPr="00906CAE" w:rsidRDefault="0065676C" w:rsidP="0041053F">
            <w:pPr>
              <w:pStyle w:val="TableRow"/>
              <w:spacing w:line="256" w:lineRule="auto"/>
              <w:rPr>
                <w:sz w:val="22"/>
                <w:szCs w:val="22"/>
                <w:lang w:eastAsia="en-US"/>
              </w:rPr>
            </w:pPr>
            <w:r w:rsidRPr="00906CAE">
              <w:rPr>
                <w:sz w:val="22"/>
                <w:szCs w:val="22"/>
                <w:lang w:eastAsia="en-US"/>
              </w:rPr>
              <w:t>12%</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B7B315" w14:textId="5780D530" w:rsidR="0041053F" w:rsidRPr="00906CAE" w:rsidRDefault="0065676C" w:rsidP="0041053F">
            <w:pPr>
              <w:pStyle w:val="TableRow"/>
              <w:spacing w:line="256" w:lineRule="auto"/>
              <w:rPr>
                <w:sz w:val="22"/>
                <w:szCs w:val="22"/>
                <w:lang w:eastAsia="en-US"/>
              </w:rPr>
            </w:pPr>
            <w:r w:rsidRPr="00906CAE">
              <w:rPr>
                <w:sz w:val="22"/>
                <w:szCs w:val="22"/>
                <w:lang w:eastAsia="en-US"/>
              </w:rPr>
              <w:t>5%</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5DE7BF" w14:textId="2B8078AE" w:rsidR="0041053F" w:rsidRPr="00906CAE" w:rsidRDefault="0065676C" w:rsidP="0041053F">
            <w:pPr>
              <w:pStyle w:val="TableRow"/>
              <w:spacing w:line="256" w:lineRule="auto"/>
              <w:rPr>
                <w:sz w:val="22"/>
                <w:szCs w:val="22"/>
                <w:lang w:eastAsia="en-US"/>
              </w:rPr>
            </w:pPr>
            <w:r w:rsidRPr="00906CAE">
              <w:rPr>
                <w:sz w:val="22"/>
                <w:szCs w:val="22"/>
                <w:lang w:eastAsia="en-US"/>
              </w:rPr>
              <w:t>13%</w:t>
            </w:r>
          </w:p>
        </w:tc>
      </w:tr>
      <w:tr w:rsidR="004C0305" w14:paraId="025F6AA4" w14:textId="77777777" w:rsidTr="00C70189">
        <w:trPr>
          <w:trHeight w:val="381"/>
        </w:trPr>
        <w:tc>
          <w:tcPr>
            <w:tcW w:w="9493" w:type="dxa"/>
            <w:gridSpan w:val="4"/>
            <w:tcBorders>
              <w:top w:val="single" w:sz="4" w:space="0" w:color="BFBFBF"/>
              <w:left w:val="single" w:sz="4" w:space="0" w:color="BFBFBF"/>
              <w:bottom w:val="single" w:sz="4" w:space="0" w:color="BFBFBF"/>
              <w:right w:val="single" w:sz="4" w:space="0" w:color="BFBFBF" w:themeColor="background1" w:themeShade="BF"/>
            </w:tcBorders>
            <w:tcMar>
              <w:top w:w="0" w:type="dxa"/>
              <w:left w:w="108" w:type="dxa"/>
              <w:bottom w:w="0" w:type="dxa"/>
              <w:right w:w="108" w:type="dxa"/>
            </w:tcMar>
            <w:hideMark/>
          </w:tcPr>
          <w:p w14:paraId="31F0EA75" w14:textId="12884FE1" w:rsidR="004C0305" w:rsidRPr="00214AFE" w:rsidRDefault="004C0305" w:rsidP="0041053F">
            <w:pPr>
              <w:pStyle w:val="TableRow"/>
              <w:spacing w:line="256" w:lineRule="auto"/>
              <w:rPr>
                <w:b/>
                <w:sz w:val="22"/>
                <w:szCs w:val="22"/>
                <w:lang w:eastAsia="en-US"/>
              </w:rPr>
            </w:pPr>
            <w:r>
              <w:rPr>
                <w:rFonts w:cs="Calibri"/>
                <w:b/>
                <w:sz w:val="22"/>
                <w:szCs w:val="22"/>
                <w:lang w:eastAsia="en-US"/>
              </w:rPr>
              <w:t>Current Year 5</w:t>
            </w:r>
          </w:p>
        </w:tc>
      </w:tr>
      <w:tr w:rsidR="0041053F" w14:paraId="292B6B0D" w14:textId="77777777" w:rsidTr="0041053F">
        <w:trPr>
          <w:trHeight w:val="381"/>
        </w:trPr>
        <w:tc>
          <w:tcPr>
            <w:tcW w:w="4815" w:type="dxa"/>
            <w:tcBorders>
              <w:top w:val="single" w:sz="4" w:space="0" w:color="BFBFBF"/>
              <w:left w:val="single" w:sz="4" w:space="0" w:color="BFBFBF"/>
              <w:bottom w:val="single" w:sz="4" w:space="0" w:color="BFBFBF"/>
              <w:right w:val="single" w:sz="4" w:space="0" w:color="BFBFBF" w:themeColor="background1" w:themeShade="BF"/>
            </w:tcBorders>
            <w:tcMar>
              <w:top w:w="0" w:type="dxa"/>
              <w:left w:w="108" w:type="dxa"/>
              <w:bottom w:w="0" w:type="dxa"/>
              <w:right w:w="108" w:type="dxa"/>
            </w:tcMar>
            <w:hideMark/>
          </w:tcPr>
          <w:p w14:paraId="218ACAC8" w14:textId="32193F9C" w:rsidR="0041053F" w:rsidRDefault="0041053F" w:rsidP="0041053F">
            <w:pPr>
              <w:pStyle w:val="TableRow"/>
              <w:spacing w:line="256" w:lineRule="auto"/>
              <w:rPr>
                <w:rFonts w:cs="Calibri"/>
                <w:sz w:val="22"/>
                <w:szCs w:val="22"/>
                <w:lang w:eastAsia="en-US"/>
              </w:rPr>
            </w:pPr>
            <w:r>
              <w:rPr>
                <w:rFonts w:cs="Calibri"/>
                <w:sz w:val="22"/>
                <w:szCs w:val="22"/>
                <w:lang w:eastAsia="en-US"/>
              </w:rPr>
              <w:t>Working at ARE</w:t>
            </w:r>
            <w:r w:rsidR="001E6428">
              <w:rPr>
                <w:rFonts w:cs="Calibri"/>
                <w:sz w:val="22"/>
                <w:szCs w:val="22"/>
                <w:lang w:eastAsia="en-US"/>
              </w:rPr>
              <w:t xml:space="preserve"> </w:t>
            </w:r>
            <w:r w:rsidR="0065676C" w:rsidRPr="0065676C">
              <w:rPr>
                <w:rFonts w:cs="Calibri"/>
                <w:color w:val="FF0000"/>
                <w:sz w:val="16"/>
                <w:szCs w:val="22"/>
                <w:lang w:eastAsia="en-US"/>
              </w:rPr>
              <w:t>predicted for end of year</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64920CC9" w14:textId="28F27837" w:rsidR="0041053F" w:rsidRPr="00906CAE" w:rsidRDefault="00820F8C" w:rsidP="0041053F">
            <w:pPr>
              <w:pStyle w:val="TableRow"/>
              <w:spacing w:line="256" w:lineRule="auto"/>
              <w:rPr>
                <w:sz w:val="22"/>
                <w:szCs w:val="22"/>
                <w:lang w:eastAsia="en-US"/>
              </w:rPr>
            </w:pPr>
            <w:r>
              <w:rPr>
                <w:sz w:val="22"/>
                <w:szCs w:val="22"/>
                <w:lang w:eastAsia="en-US"/>
              </w:rPr>
              <w:t>58</w:t>
            </w:r>
            <w:r w:rsidR="0065676C" w:rsidRPr="00906CAE">
              <w:rPr>
                <w:sz w:val="22"/>
                <w:szCs w:val="22"/>
                <w:lang w:eastAsia="en-US"/>
              </w:rPr>
              <w:t>%</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01595A" w14:textId="45A2743E" w:rsidR="0041053F" w:rsidRPr="00906CAE" w:rsidRDefault="0065676C" w:rsidP="0041053F">
            <w:pPr>
              <w:pStyle w:val="TableRow"/>
              <w:spacing w:line="256" w:lineRule="auto"/>
              <w:rPr>
                <w:sz w:val="22"/>
                <w:szCs w:val="22"/>
                <w:lang w:eastAsia="en-US"/>
              </w:rPr>
            </w:pPr>
            <w:r w:rsidRPr="00906CAE">
              <w:rPr>
                <w:sz w:val="22"/>
                <w:szCs w:val="22"/>
                <w:lang w:eastAsia="en-US"/>
              </w:rPr>
              <w:t>6</w:t>
            </w:r>
            <w:r w:rsidR="008C65B6">
              <w:rPr>
                <w:sz w:val="22"/>
                <w:szCs w:val="22"/>
                <w:lang w:eastAsia="en-US"/>
              </w:rPr>
              <w:t>0</w:t>
            </w:r>
            <w:r w:rsidRPr="00906CAE">
              <w:rPr>
                <w:sz w:val="22"/>
                <w:szCs w:val="22"/>
                <w:lang w:eastAsia="en-US"/>
              </w:rPr>
              <w:t>%</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CDC5D6" w14:textId="61C91F50" w:rsidR="0041053F" w:rsidRPr="00906CAE" w:rsidRDefault="0065676C" w:rsidP="0041053F">
            <w:pPr>
              <w:pStyle w:val="TableRow"/>
              <w:spacing w:line="256" w:lineRule="auto"/>
              <w:rPr>
                <w:sz w:val="22"/>
                <w:szCs w:val="22"/>
                <w:lang w:eastAsia="en-US"/>
              </w:rPr>
            </w:pPr>
            <w:r w:rsidRPr="00906CAE">
              <w:rPr>
                <w:sz w:val="22"/>
                <w:szCs w:val="22"/>
                <w:lang w:eastAsia="en-US"/>
              </w:rPr>
              <w:t>6</w:t>
            </w:r>
            <w:r w:rsidR="008C65B6">
              <w:rPr>
                <w:sz w:val="22"/>
                <w:szCs w:val="22"/>
                <w:lang w:eastAsia="en-US"/>
              </w:rPr>
              <w:t>6</w:t>
            </w:r>
            <w:r w:rsidRPr="00906CAE">
              <w:rPr>
                <w:sz w:val="22"/>
                <w:szCs w:val="22"/>
                <w:lang w:eastAsia="en-US"/>
              </w:rPr>
              <w:t>%</w:t>
            </w:r>
          </w:p>
        </w:tc>
      </w:tr>
      <w:tr w:rsidR="0041053F" w14:paraId="425B0723" w14:textId="77777777" w:rsidTr="0041053F">
        <w:trPr>
          <w:trHeight w:val="381"/>
        </w:trPr>
        <w:tc>
          <w:tcPr>
            <w:tcW w:w="4815" w:type="dxa"/>
            <w:tcBorders>
              <w:top w:val="single" w:sz="4" w:space="0" w:color="BFBFBF"/>
              <w:left w:val="single" w:sz="4" w:space="0" w:color="BFBFBF"/>
              <w:bottom w:val="single" w:sz="4" w:space="0" w:color="BFBFBF"/>
              <w:right w:val="single" w:sz="4" w:space="0" w:color="BFBFBF" w:themeColor="background1" w:themeShade="BF"/>
            </w:tcBorders>
            <w:tcMar>
              <w:top w:w="0" w:type="dxa"/>
              <w:left w:w="108" w:type="dxa"/>
              <w:bottom w:w="0" w:type="dxa"/>
              <w:right w:w="108" w:type="dxa"/>
            </w:tcMar>
            <w:hideMark/>
          </w:tcPr>
          <w:p w14:paraId="01B69011" w14:textId="56BC06CA" w:rsidR="0041053F" w:rsidRDefault="0041053F" w:rsidP="0041053F">
            <w:pPr>
              <w:pStyle w:val="TableRow"/>
              <w:spacing w:line="256" w:lineRule="auto"/>
              <w:rPr>
                <w:rFonts w:cs="Calibri"/>
                <w:sz w:val="22"/>
                <w:szCs w:val="22"/>
                <w:lang w:eastAsia="en-US"/>
              </w:rPr>
            </w:pPr>
            <w:r>
              <w:rPr>
                <w:rFonts w:cs="Calibri"/>
                <w:sz w:val="22"/>
                <w:szCs w:val="22"/>
                <w:lang w:eastAsia="en-US"/>
              </w:rPr>
              <w:t>Working at GDS</w:t>
            </w:r>
            <w:r w:rsidR="001E6428">
              <w:rPr>
                <w:rFonts w:cs="Calibri"/>
                <w:sz w:val="22"/>
                <w:szCs w:val="22"/>
                <w:lang w:eastAsia="en-US"/>
              </w:rPr>
              <w:t xml:space="preserve"> </w:t>
            </w:r>
            <w:r w:rsidR="0065676C" w:rsidRPr="0065676C">
              <w:rPr>
                <w:rFonts w:cs="Calibri"/>
                <w:color w:val="FF0000"/>
                <w:sz w:val="16"/>
                <w:szCs w:val="22"/>
                <w:lang w:eastAsia="en-US"/>
              </w:rPr>
              <w:t>predicted for end of year</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53C19472" w14:textId="68DE2036" w:rsidR="0041053F" w:rsidRPr="00906CAE" w:rsidRDefault="0065676C" w:rsidP="0041053F">
            <w:pPr>
              <w:pStyle w:val="TableRow"/>
              <w:spacing w:line="256" w:lineRule="auto"/>
              <w:rPr>
                <w:sz w:val="22"/>
                <w:szCs w:val="22"/>
                <w:lang w:eastAsia="en-US"/>
              </w:rPr>
            </w:pPr>
            <w:r w:rsidRPr="00906CAE">
              <w:rPr>
                <w:sz w:val="22"/>
                <w:szCs w:val="22"/>
                <w:lang w:eastAsia="en-US"/>
              </w:rPr>
              <w:t>10%</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68C311" w14:textId="4766638A" w:rsidR="0041053F" w:rsidRPr="00906CAE" w:rsidRDefault="0065676C" w:rsidP="0041053F">
            <w:pPr>
              <w:pStyle w:val="TableRow"/>
              <w:spacing w:line="256" w:lineRule="auto"/>
              <w:rPr>
                <w:sz w:val="22"/>
                <w:szCs w:val="22"/>
                <w:lang w:eastAsia="en-US"/>
              </w:rPr>
            </w:pPr>
            <w:r w:rsidRPr="00906CAE">
              <w:rPr>
                <w:sz w:val="22"/>
                <w:szCs w:val="22"/>
                <w:lang w:eastAsia="en-US"/>
              </w:rPr>
              <w:t>1%</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103201" w14:textId="0A6F2035" w:rsidR="0041053F" w:rsidRPr="00906CAE" w:rsidRDefault="0065676C" w:rsidP="0041053F">
            <w:pPr>
              <w:pStyle w:val="TableRow"/>
              <w:spacing w:line="256" w:lineRule="auto"/>
              <w:rPr>
                <w:sz w:val="22"/>
                <w:szCs w:val="22"/>
                <w:lang w:eastAsia="en-US"/>
              </w:rPr>
            </w:pPr>
            <w:r w:rsidRPr="00906CAE">
              <w:rPr>
                <w:sz w:val="22"/>
                <w:szCs w:val="22"/>
                <w:lang w:eastAsia="en-US"/>
              </w:rPr>
              <w:t>10%</w:t>
            </w:r>
          </w:p>
        </w:tc>
      </w:tr>
      <w:tr w:rsidR="0041053F" w14:paraId="3BAA152E" w14:textId="77777777" w:rsidTr="0041053F">
        <w:trPr>
          <w:trHeight w:val="381"/>
        </w:trPr>
        <w:tc>
          <w:tcPr>
            <w:tcW w:w="4815" w:type="dxa"/>
            <w:tcBorders>
              <w:top w:val="single" w:sz="4" w:space="0" w:color="BFBFBF"/>
              <w:left w:val="single" w:sz="4" w:space="0" w:color="BFBFBF"/>
              <w:bottom w:val="single" w:sz="4" w:space="0" w:color="BFBFBF"/>
              <w:right w:val="single" w:sz="4" w:space="0" w:color="BFBFBF" w:themeColor="background1" w:themeShade="BF"/>
            </w:tcBorders>
            <w:tcMar>
              <w:top w:w="0" w:type="dxa"/>
              <w:left w:w="108" w:type="dxa"/>
              <w:bottom w:w="0" w:type="dxa"/>
              <w:right w:w="108" w:type="dxa"/>
            </w:tcMar>
            <w:hideMark/>
          </w:tcPr>
          <w:p w14:paraId="392D9B17" w14:textId="77777777" w:rsidR="0041053F" w:rsidRDefault="0041053F" w:rsidP="0041053F">
            <w:pPr>
              <w:pStyle w:val="TableRow"/>
              <w:spacing w:line="256" w:lineRule="auto"/>
              <w:rPr>
                <w:rFonts w:cs="Calibri"/>
                <w:b/>
                <w:sz w:val="22"/>
                <w:szCs w:val="22"/>
                <w:lang w:eastAsia="en-US"/>
              </w:rPr>
            </w:pPr>
            <w:r>
              <w:rPr>
                <w:rFonts w:cs="Calibri"/>
                <w:b/>
                <w:sz w:val="22"/>
                <w:szCs w:val="22"/>
                <w:lang w:eastAsia="en-US"/>
              </w:rPr>
              <w:t>Current Year 6</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25A395E0" w14:textId="77777777" w:rsidR="0041053F" w:rsidRPr="00214AFE" w:rsidRDefault="0041053F" w:rsidP="0041053F">
            <w:pPr>
              <w:pStyle w:val="TableRow"/>
              <w:spacing w:line="256" w:lineRule="auto"/>
              <w:rPr>
                <w:b/>
                <w:sz w:val="22"/>
                <w:szCs w:val="22"/>
                <w:lang w:eastAsia="en-US"/>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B98805" w14:textId="77777777" w:rsidR="0041053F" w:rsidRPr="00214AFE" w:rsidRDefault="0041053F" w:rsidP="0041053F">
            <w:pPr>
              <w:pStyle w:val="TableRow"/>
              <w:spacing w:line="256" w:lineRule="auto"/>
              <w:rPr>
                <w:b/>
                <w:sz w:val="22"/>
                <w:szCs w:val="22"/>
                <w:lang w:eastAsia="en-US"/>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A3F2E5" w14:textId="77777777" w:rsidR="0041053F" w:rsidRPr="00214AFE" w:rsidRDefault="0041053F" w:rsidP="0041053F">
            <w:pPr>
              <w:pStyle w:val="TableRow"/>
              <w:spacing w:line="256" w:lineRule="auto"/>
              <w:rPr>
                <w:b/>
                <w:sz w:val="22"/>
                <w:szCs w:val="22"/>
                <w:lang w:eastAsia="en-US"/>
              </w:rPr>
            </w:pPr>
          </w:p>
        </w:tc>
      </w:tr>
      <w:tr w:rsidR="0041053F" w14:paraId="658592F7" w14:textId="77777777" w:rsidTr="0041053F">
        <w:trPr>
          <w:trHeight w:val="381"/>
        </w:trPr>
        <w:tc>
          <w:tcPr>
            <w:tcW w:w="4815" w:type="dxa"/>
            <w:tcBorders>
              <w:top w:val="single" w:sz="4" w:space="0" w:color="BFBFBF"/>
              <w:left w:val="single" w:sz="4" w:space="0" w:color="BFBFBF"/>
              <w:bottom w:val="single" w:sz="4" w:space="0" w:color="BFBFBF"/>
              <w:right w:val="single" w:sz="4" w:space="0" w:color="BFBFBF" w:themeColor="background1" w:themeShade="BF"/>
            </w:tcBorders>
            <w:tcMar>
              <w:top w:w="0" w:type="dxa"/>
              <w:left w:w="108" w:type="dxa"/>
              <w:bottom w:w="0" w:type="dxa"/>
              <w:right w:w="108" w:type="dxa"/>
            </w:tcMar>
            <w:hideMark/>
          </w:tcPr>
          <w:p w14:paraId="06FB6553" w14:textId="47707276" w:rsidR="0041053F" w:rsidRDefault="0041053F" w:rsidP="0041053F">
            <w:pPr>
              <w:pStyle w:val="TableRow"/>
              <w:spacing w:line="256" w:lineRule="auto"/>
              <w:rPr>
                <w:rFonts w:cs="Calibri"/>
                <w:sz w:val="22"/>
                <w:szCs w:val="22"/>
                <w:lang w:eastAsia="en-US"/>
              </w:rPr>
            </w:pPr>
            <w:r>
              <w:rPr>
                <w:rFonts w:cs="Calibri"/>
                <w:sz w:val="22"/>
                <w:szCs w:val="22"/>
                <w:lang w:eastAsia="en-US"/>
              </w:rPr>
              <w:t>Working at ARE</w:t>
            </w:r>
            <w:r w:rsidR="001E6428">
              <w:rPr>
                <w:rFonts w:cs="Calibri"/>
                <w:sz w:val="22"/>
                <w:szCs w:val="22"/>
                <w:lang w:eastAsia="en-US"/>
              </w:rPr>
              <w:t xml:space="preserve"> </w:t>
            </w:r>
            <w:r w:rsidR="0065676C" w:rsidRPr="0065676C">
              <w:rPr>
                <w:rFonts w:cs="Calibri"/>
                <w:color w:val="FF0000"/>
                <w:sz w:val="16"/>
                <w:szCs w:val="22"/>
                <w:lang w:eastAsia="en-US"/>
              </w:rPr>
              <w:t>predicted for end of year</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756ACBEF" w14:textId="07975B27" w:rsidR="0041053F" w:rsidRPr="00906CAE" w:rsidRDefault="0065676C" w:rsidP="0041053F">
            <w:pPr>
              <w:pStyle w:val="TableRow"/>
              <w:spacing w:line="256" w:lineRule="auto"/>
              <w:rPr>
                <w:sz w:val="22"/>
                <w:szCs w:val="22"/>
                <w:lang w:eastAsia="en-US"/>
              </w:rPr>
            </w:pPr>
            <w:r w:rsidRPr="00906CAE">
              <w:rPr>
                <w:sz w:val="22"/>
                <w:szCs w:val="22"/>
                <w:lang w:eastAsia="en-US"/>
              </w:rPr>
              <w:t>6</w:t>
            </w:r>
            <w:r w:rsidR="008C65B6">
              <w:rPr>
                <w:sz w:val="22"/>
                <w:szCs w:val="22"/>
                <w:lang w:eastAsia="en-US"/>
              </w:rPr>
              <w:t>6</w:t>
            </w:r>
            <w:r w:rsidRPr="00906CAE">
              <w:rPr>
                <w:sz w:val="22"/>
                <w:szCs w:val="22"/>
                <w:lang w:eastAsia="en-US"/>
              </w:rPr>
              <w:t>%</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1E852A" w14:textId="4B63F3C9" w:rsidR="0041053F" w:rsidRPr="00906CAE" w:rsidRDefault="0065676C" w:rsidP="0041053F">
            <w:pPr>
              <w:pStyle w:val="TableRow"/>
              <w:spacing w:line="256" w:lineRule="auto"/>
              <w:rPr>
                <w:sz w:val="22"/>
                <w:szCs w:val="22"/>
                <w:lang w:eastAsia="en-US"/>
              </w:rPr>
            </w:pPr>
            <w:r w:rsidRPr="00906CAE">
              <w:rPr>
                <w:sz w:val="22"/>
                <w:szCs w:val="22"/>
                <w:lang w:eastAsia="en-US"/>
              </w:rPr>
              <w:t>5</w:t>
            </w:r>
            <w:r w:rsidR="008C65B6">
              <w:rPr>
                <w:sz w:val="22"/>
                <w:szCs w:val="22"/>
                <w:lang w:eastAsia="en-US"/>
              </w:rPr>
              <w:t>5</w:t>
            </w:r>
            <w:r w:rsidRPr="00906CAE">
              <w:rPr>
                <w:sz w:val="22"/>
                <w:szCs w:val="22"/>
                <w:lang w:eastAsia="en-US"/>
              </w:rPr>
              <w:t>%</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E7611E" w14:textId="2277F83C" w:rsidR="0041053F" w:rsidRPr="00906CAE" w:rsidRDefault="0065676C" w:rsidP="0041053F">
            <w:pPr>
              <w:pStyle w:val="TableRow"/>
              <w:spacing w:line="256" w:lineRule="auto"/>
              <w:rPr>
                <w:sz w:val="22"/>
                <w:szCs w:val="22"/>
                <w:lang w:eastAsia="en-US"/>
              </w:rPr>
            </w:pPr>
            <w:r w:rsidRPr="00906CAE">
              <w:rPr>
                <w:sz w:val="22"/>
                <w:szCs w:val="22"/>
                <w:lang w:eastAsia="en-US"/>
              </w:rPr>
              <w:t>5</w:t>
            </w:r>
            <w:r w:rsidR="008C65B6">
              <w:rPr>
                <w:sz w:val="22"/>
                <w:szCs w:val="22"/>
                <w:lang w:eastAsia="en-US"/>
              </w:rPr>
              <w:t>5</w:t>
            </w:r>
            <w:r w:rsidRPr="00906CAE">
              <w:rPr>
                <w:sz w:val="22"/>
                <w:szCs w:val="22"/>
                <w:lang w:eastAsia="en-US"/>
              </w:rPr>
              <w:t>%</w:t>
            </w:r>
          </w:p>
        </w:tc>
      </w:tr>
      <w:tr w:rsidR="0041053F" w14:paraId="40ACB597" w14:textId="77777777" w:rsidTr="0041053F">
        <w:trPr>
          <w:trHeight w:val="381"/>
        </w:trPr>
        <w:tc>
          <w:tcPr>
            <w:tcW w:w="4815" w:type="dxa"/>
            <w:tcBorders>
              <w:top w:val="single" w:sz="4" w:space="0" w:color="BFBFBF"/>
              <w:left w:val="single" w:sz="4" w:space="0" w:color="BFBFBF"/>
              <w:bottom w:val="single" w:sz="4" w:space="0" w:color="BFBFBF"/>
              <w:right w:val="single" w:sz="4" w:space="0" w:color="BFBFBF" w:themeColor="background1" w:themeShade="BF"/>
            </w:tcBorders>
            <w:tcMar>
              <w:top w:w="0" w:type="dxa"/>
              <w:left w:w="108" w:type="dxa"/>
              <w:bottom w:w="0" w:type="dxa"/>
              <w:right w:w="108" w:type="dxa"/>
            </w:tcMar>
            <w:hideMark/>
          </w:tcPr>
          <w:p w14:paraId="5063EA1E" w14:textId="26CBDC76" w:rsidR="0041053F" w:rsidRDefault="0041053F" w:rsidP="0041053F">
            <w:pPr>
              <w:pStyle w:val="TableRow"/>
              <w:spacing w:line="256" w:lineRule="auto"/>
              <w:rPr>
                <w:rFonts w:cs="Calibri"/>
                <w:sz w:val="22"/>
                <w:szCs w:val="22"/>
                <w:lang w:eastAsia="en-US"/>
              </w:rPr>
            </w:pPr>
            <w:r>
              <w:rPr>
                <w:rFonts w:cs="Calibri"/>
                <w:sz w:val="22"/>
                <w:szCs w:val="22"/>
                <w:lang w:eastAsia="en-US"/>
              </w:rPr>
              <w:t>Working at GDS</w:t>
            </w:r>
            <w:r w:rsidR="001E6428">
              <w:rPr>
                <w:rFonts w:cs="Calibri"/>
                <w:sz w:val="22"/>
                <w:szCs w:val="22"/>
                <w:lang w:eastAsia="en-US"/>
              </w:rPr>
              <w:t xml:space="preserve"> </w:t>
            </w:r>
            <w:r w:rsidR="0065676C" w:rsidRPr="0065676C">
              <w:rPr>
                <w:rFonts w:cs="Calibri"/>
                <w:color w:val="FF0000"/>
                <w:sz w:val="16"/>
                <w:szCs w:val="22"/>
                <w:lang w:eastAsia="en-US"/>
              </w:rPr>
              <w:t>predicted for end of year</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24195951" w14:textId="5F2BAAEB" w:rsidR="0041053F" w:rsidRPr="00906CAE" w:rsidRDefault="0065676C" w:rsidP="0041053F">
            <w:pPr>
              <w:pStyle w:val="TableRow"/>
              <w:spacing w:line="256" w:lineRule="auto"/>
              <w:rPr>
                <w:sz w:val="22"/>
                <w:szCs w:val="22"/>
                <w:lang w:eastAsia="en-US"/>
              </w:rPr>
            </w:pPr>
            <w:r w:rsidRPr="00906CAE">
              <w:rPr>
                <w:sz w:val="22"/>
                <w:szCs w:val="22"/>
                <w:lang w:eastAsia="en-US"/>
              </w:rPr>
              <w:t>12%</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8438C9" w14:textId="6CE68D3D" w:rsidR="0041053F" w:rsidRPr="00906CAE" w:rsidRDefault="0065676C" w:rsidP="0041053F">
            <w:pPr>
              <w:pStyle w:val="TableRow"/>
              <w:spacing w:line="256" w:lineRule="auto"/>
              <w:rPr>
                <w:sz w:val="22"/>
                <w:szCs w:val="22"/>
                <w:lang w:eastAsia="en-US"/>
              </w:rPr>
            </w:pPr>
            <w:r w:rsidRPr="00906CAE">
              <w:rPr>
                <w:sz w:val="22"/>
                <w:szCs w:val="22"/>
                <w:lang w:eastAsia="en-US"/>
              </w:rPr>
              <w:t>1%</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837859" w14:textId="24E6729B" w:rsidR="0041053F" w:rsidRPr="00906CAE" w:rsidRDefault="0065676C" w:rsidP="0041053F">
            <w:pPr>
              <w:pStyle w:val="TableRow"/>
              <w:spacing w:line="256" w:lineRule="auto"/>
              <w:rPr>
                <w:sz w:val="22"/>
                <w:szCs w:val="22"/>
                <w:lang w:eastAsia="en-US"/>
              </w:rPr>
            </w:pPr>
            <w:r w:rsidRPr="00906CAE">
              <w:rPr>
                <w:sz w:val="22"/>
                <w:szCs w:val="22"/>
                <w:lang w:eastAsia="en-US"/>
              </w:rPr>
              <w:t>7%</w:t>
            </w:r>
          </w:p>
        </w:tc>
      </w:tr>
    </w:tbl>
    <w:p w14:paraId="1D192BF2" w14:textId="77777777" w:rsidR="0041053F" w:rsidRDefault="0041053F" w:rsidP="007A7DF0">
      <w:pPr>
        <w:rPr>
          <w:rFonts w:ascii="Arial" w:hAnsi="Arial" w:cs="Arial"/>
          <w:b/>
          <w:color w:val="A14F8C"/>
        </w:rPr>
      </w:pPr>
    </w:p>
    <w:p w14:paraId="485B3E7F" w14:textId="77777777" w:rsidR="0041053F" w:rsidRDefault="0041053F" w:rsidP="007A7DF0">
      <w:pPr>
        <w:rPr>
          <w:rFonts w:ascii="Arial" w:hAnsi="Arial" w:cs="Arial"/>
          <w:b/>
          <w:color w:val="A14F8C"/>
        </w:rPr>
      </w:pPr>
    </w:p>
    <w:p w14:paraId="19370C60" w14:textId="34A8AD88" w:rsidR="000C1BE6" w:rsidRPr="0037117A" w:rsidRDefault="005B3F62" w:rsidP="007A7DF0">
      <w:pPr>
        <w:rPr>
          <w:rFonts w:ascii="Arial" w:hAnsi="Arial" w:cs="Arial"/>
          <w:b/>
          <w:color w:val="A14F8C"/>
        </w:rPr>
      </w:pPr>
      <w:r>
        <w:rPr>
          <w:rFonts w:ascii="Arial" w:hAnsi="Arial" w:cs="Arial"/>
          <w:b/>
          <w:color w:val="A14F8C"/>
        </w:rPr>
        <w:t xml:space="preserve">OVERVIEW OF </w:t>
      </w:r>
      <w:r w:rsidR="0037117A" w:rsidRPr="0037117A">
        <w:rPr>
          <w:rFonts w:ascii="Arial" w:hAnsi="Arial" w:cs="Arial"/>
          <w:b/>
          <w:color w:val="A14F8C"/>
        </w:rPr>
        <w:t xml:space="preserve">DISADVANTAGED </w:t>
      </w:r>
      <w:r>
        <w:rPr>
          <w:rFonts w:ascii="Arial" w:hAnsi="Arial" w:cs="Arial"/>
          <w:b/>
          <w:color w:val="A14F8C"/>
        </w:rPr>
        <w:t xml:space="preserve">AND VULNERABLE </w:t>
      </w:r>
      <w:r w:rsidR="0037117A" w:rsidRPr="0037117A">
        <w:rPr>
          <w:rFonts w:ascii="Arial" w:hAnsi="Arial" w:cs="Arial"/>
          <w:b/>
          <w:color w:val="A14F8C"/>
        </w:rPr>
        <w:t xml:space="preserve">PUPIL </w:t>
      </w:r>
      <w:r>
        <w:rPr>
          <w:rFonts w:ascii="Arial" w:hAnsi="Arial" w:cs="Arial"/>
          <w:b/>
          <w:color w:val="A14F8C"/>
        </w:rPr>
        <w:t>CATCH-UP NEEDS</w:t>
      </w:r>
      <w:r w:rsidR="00163A84">
        <w:rPr>
          <w:rFonts w:ascii="Arial" w:hAnsi="Arial" w:cs="Arial"/>
          <w:b/>
          <w:color w:val="A14F8C"/>
        </w:rPr>
        <w:t xml:space="preserve"> </w:t>
      </w:r>
      <w:r w:rsidR="00163A84" w:rsidRPr="00E30176">
        <w:rPr>
          <w:rFonts w:ascii="Arial" w:hAnsi="Arial" w:cs="Arial"/>
          <w:b/>
        </w:rPr>
        <w:t>(All pupils)</w:t>
      </w:r>
    </w:p>
    <w:p w14:paraId="6FE282FB" w14:textId="77777777" w:rsidR="0037117A" w:rsidRDefault="0037117A" w:rsidP="007A7DF0"/>
    <w:tbl>
      <w:tblPr>
        <w:tblW w:w="9493" w:type="dxa"/>
        <w:tblCellMar>
          <w:left w:w="10" w:type="dxa"/>
          <w:right w:w="10" w:type="dxa"/>
        </w:tblCellMar>
        <w:tblLook w:val="04A0" w:firstRow="1" w:lastRow="0" w:firstColumn="1" w:lastColumn="0" w:noHBand="0" w:noVBand="1"/>
      </w:tblPr>
      <w:tblGrid>
        <w:gridCol w:w="1555"/>
        <w:gridCol w:w="7938"/>
      </w:tblGrid>
      <w:tr w:rsidR="0037117A" w14:paraId="434B545F" w14:textId="77777777" w:rsidTr="00214AFE">
        <w:trPr>
          <w:trHeight w:val="381"/>
        </w:trPr>
        <w:tc>
          <w:tcPr>
            <w:tcW w:w="155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C7DBA8" w14:textId="77777777" w:rsidR="0037117A" w:rsidRDefault="0037117A" w:rsidP="008206D4">
            <w:pPr>
              <w:pStyle w:val="TableRow"/>
            </w:pPr>
            <w:r>
              <w:rPr>
                <w:b/>
                <w:sz w:val="22"/>
                <w:szCs w:val="22"/>
              </w:rPr>
              <w:t>Measure</w:t>
            </w:r>
          </w:p>
        </w:tc>
        <w:tc>
          <w:tcPr>
            <w:tcW w:w="79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1429B45" w14:textId="4D206A88" w:rsidR="0037117A" w:rsidRPr="005B3F62" w:rsidRDefault="005B3F62" w:rsidP="008206D4">
            <w:pPr>
              <w:pStyle w:val="TableRow"/>
              <w:rPr>
                <w:b/>
              </w:rPr>
            </w:pPr>
            <w:r w:rsidRPr="005B3F62">
              <w:rPr>
                <w:b/>
              </w:rPr>
              <w:t>Comment</w:t>
            </w:r>
          </w:p>
        </w:tc>
      </w:tr>
      <w:tr w:rsidR="00BE41D9" w14:paraId="637977F6" w14:textId="77777777" w:rsidTr="00214AFE">
        <w:trPr>
          <w:trHeight w:val="381"/>
        </w:trPr>
        <w:tc>
          <w:tcPr>
            <w:tcW w:w="155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BB66DA" w14:textId="0048A9C4" w:rsidR="00BE41D9" w:rsidRPr="00E30176" w:rsidRDefault="00BE41D9" w:rsidP="008206D4">
            <w:pPr>
              <w:pStyle w:val="TableRow"/>
              <w:rPr>
                <w:rFonts w:cs="Calibri"/>
                <w:b/>
                <w:sz w:val="22"/>
                <w:szCs w:val="22"/>
              </w:rPr>
            </w:pPr>
            <w:r w:rsidRPr="00E30176">
              <w:rPr>
                <w:rFonts w:cs="Calibri"/>
                <w:b/>
                <w:sz w:val="22"/>
                <w:szCs w:val="22"/>
              </w:rPr>
              <w:t>Social and emotional wellbeing</w:t>
            </w:r>
          </w:p>
        </w:tc>
        <w:tc>
          <w:tcPr>
            <w:tcW w:w="79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F657D02" w14:textId="541CCE8D" w:rsidR="00BE41D9" w:rsidRPr="00214AFE" w:rsidRDefault="00BE41D9" w:rsidP="00BE41D9">
            <w:pPr>
              <w:pStyle w:val="TableRow"/>
              <w:ind w:left="0"/>
              <w:rPr>
                <w:sz w:val="22"/>
                <w:szCs w:val="22"/>
              </w:rPr>
            </w:pPr>
            <w:r>
              <w:rPr>
                <w:sz w:val="22"/>
                <w:szCs w:val="22"/>
              </w:rPr>
              <w:t>Children are displaying higher levels of anxiety and some children are struggling to settle or follow the new routines.</w:t>
            </w:r>
          </w:p>
        </w:tc>
      </w:tr>
      <w:tr w:rsidR="0037117A" w14:paraId="7299F552" w14:textId="77777777" w:rsidTr="00214AFE">
        <w:trPr>
          <w:trHeight w:val="381"/>
        </w:trPr>
        <w:tc>
          <w:tcPr>
            <w:tcW w:w="155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F0A418" w14:textId="4481A9CD" w:rsidR="0037117A" w:rsidRPr="00E30176" w:rsidRDefault="00B66C4E" w:rsidP="008206D4">
            <w:pPr>
              <w:pStyle w:val="TableRow"/>
              <w:rPr>
                <w:b/>
                <w:sz w:val="22"/>
                <w:szCs w:val="22"/>
              </w:rPr>
            </w:pPr>
            <w:r w:rsidRPr="00E30176">
              <w:rPr>
                <w:rFonts w:cs="Calibri"/>
                <w:b/>
                <w:sz w:val="22"/>
                <w:szCs w:val="22"/>
              </w:rPr>
              <w:t xml:space="preserve">Phonics and </w:t>
            </w:r>
            <w:r w:rsidR="0037117A" w:rsidRPr="00E30176">
              <w:rPr>
                <w:rFonts w:cs="Calibri"/>
                <w:b/>
                <w:sz w:val="22"/>
                <w:szCs w:val="22"/>
              </w:rPr>
              <w:t>Reading</w:t>
            </w:r>
          </w:p>
        </w:tc>
        <w:tc>
          <w:tcPr>
            <w:tcW w:w="79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B69643" w14:textId="77777777" w:rsidR="00E77402" w:rsidRDefault="00E77402" w:rsidP="00214AFE">
            <w:pPr>
              <w:pStyle w:val="TableRow"/>
              <w:rPr>
                <w:sz w:val="22"/>
                <w:szCs w:val="22"/>
              </w:rPr>
            </w:pPr>
            <w:r w:rsidRPr="00214AFE">
              <w:rPr>
                <w:sz w:val="22"/>
                <w:szCs w:val="22"/>
              </w:rPr>
              <w:t xml:space="preserve">KS1 and Years 3 and 4 phonics.  </w:t>
            </w:r>
          </w:p>
          <w:p w14:paraId="33AD57F0" w14:textId="759FC7B8" w:rsidR="00E77402" w:rsidRDefault="00E77402" w:rsidP="00214AFE">
            <w:pPr>
              <w:pStyle w:val="TableRow"/>
              <w:rPr>
                <w:sz w:val="22"/>
                <w:szCs w:val="22"/>
              </w:rPr>
            </w:pPr>
            <w:r>
              <w:rPr>
                <w:sz w:val="22"/>
                <w:szCs w:val="22"/>
              </w:rPr>
              <w:t xml:space="preserve">Year 1 and 2 – Blending to read with fluency. </w:t>
            </w:r>
          </w:p>
          <w:p w14:paraId="19D3EF8F" w14:textId="3C6A0AB0" w:rsidR="0037117A" w:rsidRPr="00214AFE" w:rsidRDefault="00214AFE" w:rsidP="00214AFE">
            <w:pPr>
              <w:pStyle w:val="TableRow"/>
              <w:rPr>
                <w:sz w:val="22"/>
                <w:szCs w:val="22"/>
              </w:rPr>
            </w:pPr>
            <w:r w:rsidRPr="00214AFE">
              <w:rPr>
                <w:sz w:val="22"/>
                <w:szCs w:val="22"/>
              </w:rPr>
              <w:t xml:space="preserve">For free </w:t>
            </w:r>
            <w:r w:rsidR="00B66C4E" w:rsidRPr="00214AFE">
              <w:rPr>
                <w:sz w:val="22"/>
                <w:szCs w:val="22"/>
              </w:rPr>
              <w:t>readers,</w:t>
            </w:r>
            <w:r w:rsidRPr="00214AFE">
              <w:rPr>
                <w:sz w:val="22"/>
                <w:szCs w:val="22"/>
              </w:rPr>
              <w:t xml:space="preserve"> the skills of inference and deduction which have not been put into practice for the period of lock down.</w:t>
            </w:r>
          </w:p>
        </w:tc>
      </w:tr>
      <w:tr w:rsidR="0037117A" w14:paraId="1394ABE8" w14:textId="77777777" w:rsidTr="00214AFE">
        <w:trPr>
          <w:trHeight w:val="381"/>
        </w:trPr>
        <w:tc>
          <w:tcPr>
            <w:tcW w:w="155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6549B8" w14:textId="77777777" w:rsidR="0037117A" w:rsidRPr="00E30176" w:rsidRDefault="0037117A" w:rsidP="008206D4">
            <w:pPr>
              <w:pStyle w:val="TableRow"/>
              <w:rPr>
                <w:rFonts w:cs="Calibri"/>
                <w:b/>
                <w:sz w:val="22"/>
                <w:szCs w:val="22"/>
              </w:rPr>
            </w:pPr>
            <w:r w:rsidRPr="00E30176">
              <w:rPr>
                <w:rFonts w:cs="Calibri"/>
                <w:b/>
                <w:sz w:val="22"/>
                <w:szCs w:val="22"/>
              </w:rPr>
              <w:t>Writing</w:t>
            </w:r>
          </w:p>
        </w:tc>
        <w:tc>
          <w:tcPr>
            <w:tcW w:w="79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C9E64C" w14:textId="1FD3DA28" w:rsidR="0037117A" w:rsidRPr="00214AFE" w:rsidRDefault="00214AFE" w:rsidP="008206D4">
            <w:pPr>
              <w:pStyle w:val="TableRow"/>
              <w:rPr>
                <w:sz w:val="22"/>
                <w:szCs w:val="22"/>
              </w:rPr>
            </w:pPr>
            <w:r w:rsidRPr="00214AFE">
              <w:rPr>
                <w:sz w:val="22"/>
                <w:szCs w:val="22"/>
              </w:rPr>
              <w:t xml:space="preserve">Due to the lack of writing the pupils did over </w:t>
            </w:r>
            <w:proofErr w:type="gramStart"/>
            <w:r w:rsidRPr="00214AFE">
              <w:rPr>
                <w:sz w:val="22"/>
                <w:szCs w:val="22"/>
              </w:rPr>
              <w:t>lockdown</w:t>
            </w:r>
            <w:r w:rsidR="0039474B">
              <w:rPr>
                <w:sz w:val="22"/>
                <w:szCs w:val="22"/>
              </w:rPr>
              <w:t>,</w:t>
            </w:r>
            <w:proofErr w:type="gramEnd"/>
            <w:r w:rsidRPr="00214AFE">
              <w:rPr>
                <w:sz w:val="22"/>
                <w:szCs w:val="22"/>
              </w:rPr>
              <w:t xml:space="preserve"> handwriting will need to be a focus for catch-up alongside the stamina the children are displaying since returning.</w:t>
            </w:r>
            <w:r w:rsidR="00BE41D9">
              <w:rPr>
                <w:sz w:val="22"/>
                <w:szCs w:val="22"/>
              </w:rPr>
              <w:t xml:space="preserve"> Gaps in spellings </w:t>
            </w:r>
            <w:proofErr w:type="gramStart"/>
            <w:r w:rsidR="00BE41D9">
              <w:rPr>
                <w:sz w:val="22"/>
                <w:szCs w:val="22"/>
              </w:rPr>
              <w:t>are also being identified</w:t>
            </w:r>
            <w:proofErr w:type="gramEnd"/>
            <w:r w:rsidR="00BE41D9">
              <w:rPr>
                <w:sz w:val="22"/>
                <w:szCs w:val="22"/>
              </w:rPr>
              <w:t>.</w:t>
            </w:r>
          </w:p>
        </w:tc>
      </w:tr>
      <w:tr w:rsidR="0037117A" w14:paraId="1E50277C" w14:textId="77777777" w:rsidTr="00214AFE">
        <w:trPr>
          <w:trHeight w:val="381"/>
        </w:trPr>
        <w:tc>
          <w:tcPr>
            <w:tcW w:w="155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93A2E5" w14:textId="77777777" w:rsidR="0037117A" w:rsidRPr="00E30176" w:rsidRDefault="0037117A" w:rsidP="008206D4">
            <w:pPr>
              <w:pStyle w:val="TableRow"/>
              <w:rPr>
                <w:rFonts w:cs="Calibri"/>
                <w:b/>
                <w:sz w:val="22"/>
                <w:szCs w:val="22"/>
              </w:rPr>
            </w:pPr>
            <w:r w:rsidRPr="00E30176">
              <w:rPr>
                <w:rFonts w:cs="Calibri"/>
                <w:b/>
                <w:sz w:val="22"/>
                <w:szCs w:val="22"/>
              </w:rPr>
              <w:t>Maths</w:t>
            </w:r>
          </w:p>
        </w:tc>
        <w:tc>
          <w:tcPr>
            <w:tcW w:w="79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DD0D33" w14:textId="09D6048A" w:rsidR="0037117A" w:rsidRPr="00214AFE" w:rsidRDefault="0039474B" w:rsidP="0039474B">
            <w:pPr>
              <w:pStyle w:val="TableRow"/>
              <w:ind w:left="0"/>
              <w:rPr>
                <w:sz w:val="22"/>
                <w:szCs w:val="22"/>
              </w:rPr>
            </w:pPr>
            <w:r>
              <w:rPr>
                <w:sz w:val="22"/>
                <w:szCs w:val="22"/>
              </w:rPr>
              <w:t>Ongoing</w:t>
            </w:r>
            <w:r w:rsidR="00214AFE" w:rsidRPr="00214AFE">
              <w:rPr>
                <w:sz w:val="22"/>
                <w:szCs w:val="22"/>
              </w:rPr>
              <w:t xml:space="preserve"> maths assessment is showing that the gaps children have are </w:t>
            </w:r>
            <w:r>
              <w:rPr>
                <w:sz w:val="22"/>
                <w:szCs w:val="22"/>
              </w:rPr>
              <w:t>topic related and varied and therefore staff are having to</w:t>
            </w:r>
            <w:r w:rsidR="00214AFE" w:rsidRPr="00214AFE">
              <w:rPr>
                <w:sz w:val="22"/>
                <w:szCs w:val="22"/>
              </w:rPr>
              <w:t xml:space="preserve"> adapted </w:t>
            </w:r>
            <w:r>
              <w:rPr>
                <w:sz w:val="22"/>
                <w:szCs w:val="22"/>
              </w:rPr>
              <w:t xml:space="preserve">lessons </w:t>
            </w:r>
            <w:r w:rsidR="00214AFE" w:rsidRPr="00214AFE">
              <w:rPr>
                <w:sz w:val="22"/>
                <w:szCs w:val="22"/>
              </w:rPr>
              <w:t>on the spot.</w:t>
            </w:r>
            <w:r w:rsidR="00E77402">
              <w:rPr>
                <w:sz w:val="22"/>
                <w:szCs w:val="22"/>
              </w:rPr>
              <w:t xml:space="preserve"> Staff </w:t>
            </w:r>
            <w:proofErr w:type="gramStart"/>
            <w:r w:rsidR="00E77402">
              <w:rPr>
                <w:sz w:val="22"/>
                <w:szCs w:val="22"/>
              </w:rPr>
              <w:t>are having</w:t>
            </w:r>
            <w:proofErr w:type="gramEnd"/>
            <w:r w:rsidR="00E77402">
              <w:rPr>
                <w:sz w:val="22"/>
                <w:szCs w:val="22"/>
              </w:rPr>
              <w:t xml:space="preserve"> to plan pre and post teaching sessions to narrow the gap. </w:t>
            </w:r>
          </w:p>
        </w:tc>
      </w:tr>
    </w:tbl>
    <w:p w14:paraId="04077E3E" w14:textId="77777777" w:rsidR="0037117A" w:rsidRDefault="0037117A" w:rsidP="007A7DF0"/>
    <w:p w14:paraId="2E82BADC" w14:textId="736B76CF" w:rsidR="0061453E" w:rsidRDefault="005B3F62" w:rsidP="0061453E">
      <w:pPr>
        <w:rPr>
          <w:rFonts w:ascii="Arial" w:hAnsi="Arial" w:cs="Arial"/>
          <w:b/>
          <w:color w:val="A14F8C"/>
        </w:rPr>
      </w:pPr>
      <w:r>
        <w:rPr>
          <w:rFonts w:ascii="Arial" w:hAnsi="Arial" w:cs="Arial"/>
          <w:b/>
          <w:color w:val="A14F8C"/>
        </w:rPr>
        <w:t>SCHOOL’S CATCH-UP PRIORITIES</w:t>
      </w:r>
    </w:p>
    <w:p w14:paraId="4715E6A5" w14:textId="77777777" w:rsidR="0061453E" w:rsidRDefault="0061453E" w:rsidP="007A7DF0">
      <w:pPr>
        <w:rPr>
          <w:rFonts w:ascii="Arial" w:hAnsi="Arial" w:cs="Arial"/>
          <w:b/>
          <w:color w:val="A14F8C"/>
        </w:rPr>
      </w:pPr>
    </w:p>
    <w:p w14:paraId="1FC2916B" w14:textId="77777777" w:rsidR="0037117A" w:rsidRDefault="0037117A" w:rsidP="007A7DF0"/>
    <w:tbl>
      <w:tblPr>
        <w:tblW w:w="15388" w:type="dxa"/>
        <w:tblCellMar>
          <w:left w:w="10" w:type="dxa"/>
          <w:right w:w="10" w:type="dxa"/>
        </w:tblCellMar>
        <w:tblLook w:val="04A0" w:firstRow="1" w:lastRow="0" w:firstColumn="1" w:lastColumn="0" w:noHBand="0" w:noVBand="1"/>
      </w:tblPr>
      <w:tblGrid>
        <w:gridCol w:w="2235"/>
        <w:gridCol w:w="2863"/>
        <w:gridCol w:w="1843"/>
        <w:gridCol w:w="2693"/>
        <w:gridCol w:w="2410"/>
        <w:gridCol w:w="3344"/>
      </w:tblGrid>
      <w:tr w:rsidR="00CF2D6F" w14:paraId="7C77B888" w14:textId="665F8F9E" w:rsidTr="002B3B47">
        <w:trPr>
          <w:trHeight w:val="381"/>
        </w:trPr>
        <w:tc>
          <w:tcPr>
            <w:tcW w:w="22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6517770" w14:textId="0F14D106" w:rsidR="00CF2D6F" w:rsidRDefault="00CF2D6F" w:rsidP="008206D4">
            <w:pPr>
              <w:pStyle w:val="TableRow"/>
              <w:rPr>
                <w:b/>
                <w:sz w:val="22"/>
                <w:szCs w:val="22"/>
              </w:rPr>
            </w:pPr>
            <w:r>
              <w:rPr>
                <w:b/>
                <w:sz w:val="22"/>
                <w:szCs w:val="22"/>
              </w:rPr>
              <w:t>Priority</w:t>
            </w:r>
          </w:p>
        </w:tc>
        <w:tc>
          <w:tcPr>
            <w:tcW w:w="28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E5FB4B0" w14:textId="77777777" w:rsidR="00CF2D6F" w:rsidRDefault="00CF2D6F" w:rsidP="008206D4">
            <w:pPr>
              <w:pStyle w:val="TableRow"/>
              <w:rPr>
                <w:b/>
                <w:sz w:val="22"/>
                <w:szCs w:val="22"/>
              </w:rPr>
            </w:pPr>
            <w:r>
              <w:rPr>
                <w:b/>
                <w:sz w:val="22"/>
                <w:szCs w:val="22"/>
              </w:rPr>
              <w:t>Target</w:t>
            </w:r>
          </w:p>
        </w:tc>
        <w:tc>
          <w:tcPr>
            <w:tcW w:w="18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A3BC33" w14:textId="77777777" w:rsidR="00CF2D6F" w:rsidRDefault="00CF2D6F" w:rsidP="008206D4">
            <w:pPr>
              <w:pStyle w:val="TableRow"/>
              <w:rPr>
                <w:b/>
                <w:sz w:val="22"/>
                <w:szCs w:val="22"/>
              </w:rPr>
            </w:pPr>
            <w:r>
              <w:rPr>
                <w:b/>
                <w:sz w:val="22"/>
                <w:szCs w:val="22"/>
              </w:rPr>
              <w:t xml:space="preserve">Target date </w:t>
            </w:r>
          </w:p>
        </w:tc>
        <w:tc>
          <w:tcPr>
            <w:tcW w:w="2693" w:type="dxa"/>
            <w:tcBorders>
              <w:top w:val="single" w:sz="4" w:space="0" w:color="BFBFBF"/>
              <w:left w:val="single" w:sz="4" w:space="0" w:color="BFBFBF"/>
              <w:bottom w:val="single" w:sz="4" w:space="0" w:color="BFBFBF"/>
              <w:right w:val="single" w:sz="4" w:space="0" w:color="BFBFBF"/>
            </w:tcBorders>
          </w:tcPr>
          <w:p w14:paraId="263B8137" w14:textId="06A8931B" w:rsidR="00CF2D6F" w:rsidRDefault="00CF2D6F" w:rsidP="008206D4">
            <w:pPr>
              <w:pStyle w:val="TableRow"/>
              <w:rPr>
                <w:b/>
                <w:sz w:val="22"/>
                <w:szCs w:val="22"/>
              </w:rPr>
            </w:pPr>
            <w:r>
              <w:rPr>
                <w:b/>
                <w:sz w:val="22"/>
                <w:szCs w:val="22"/>
              </w:rPr>
              <w:t>Autumn Evaluation</w:t>
            </w:r>
          </w:p>
        </w:tc>
        <w:tc>
          <w:tcPr>
            <w:tcW w:w="2410" w:type="dxa"/>
            <w:tcBorders>
              <w:top w:val="single" w:sz="4" w:space="0" w:color="BFBFBF"/>
              <w:left w:val="single" w:sz="4" w:space="0" w:color="BFBFBF"/>
              <w:bottom w:val="single" w:sz="4" w:space="0" w:color="BFBFBF"/>
              <w:right w:val="single" w:sz="4" w:space="0" w:color="BFBFBF"/>
            </w:tcBorders>
          </w:tcPr>
          <w:p w14:paraId="7D737EDD" w14:textId="24A0333D" w:rsidR="00CF2D6F" w:rsidRDefault="00CF2D6F" w:rsidP="008206D4">
            <w:pPr>
              <w:pStyle w:val="TableRow"/>
              <w:rPr>
                <w:b/>
                <w:sz w:val="22"/>
                <w:szCs w:val="22"/>
              </w:rPr>
            </w:pPr>
            <w:r>
              <w:rPr>
                <w:b/>
                <w:sz w:val="22"/>
                <w:szCs w:val="22"/>
              </w:rPr>
              <w:t>Spring Evaluation</w:t>
            </w:r>
          </w:p>
        </w:tc>
        <w:tc>
          <w:tcPr>
            <w:tcW w:w="3344" w:type="dxa"/>
            <w:tcBorders>
              <w:top w:val="single" w:sz="4" w:space="0" w:color="BFBFBF"/>
              <w:left w:val="single" w:sz="4" w:space="0" w:color="BFBFBF"/>
              <w:bottom w:val="single" w:sz="4" w:space="0" w:color="BFBFBF"/>
              <w:right w:val="single" w:sz="4" w:space="0" w:color="BFBFBF"/>
            </w:tcBorders>
          </w:tcPr>
          <w:p w14:paraId="7B1590B6" w14:textId="6F3228C9" w:rsidR="00CF2D6F" w:rsidRDefault="00CF2D6F" w:rsidP="008206D4">
            <w:pPr>
              <w:pStyle w:val="TableRow"/>
              <w:rPr>
                <w:b/>
                <w:sz w:val="22"/>
                <w:szCs w:val="22"/>
              </w:rPr>
            </w:pPr>
            <w:r>
              <w:rPr>
                <w:b/>
                <w:sz w:val="22"/>
                <w:szCs w:val="22"/>
              </w:rPr>
              <w:t>Summer Evaluation</w:t>
            </w:r>
          </w:p>
        </w:tc>
      </w:tr>
      <w:tr w:rsidR="00CF2D6F" w14:paraId="51D40D6C" w14:textId="055DA10A" w:rsidTr="002B3B47">
        <w:trPr>
          <w:trHeight w:val="381"/>
        </w:trPr>
        <w:tc>
          <w:tcPr>
            <w:tcW w:w="22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711378" w14:textId="7F130A58" w:rsidR="00CF2D6F" w:rsidRPr="00025ACF" w:rsidRDefault="00CF2D6F" w:rsidP="00BE41D9">
            <w:pPr>
              <w:pStyle w:val="TableRow"/>
              <w:ind w:left="0"/>
              <w:rPr>
                <w:b/>
                <w:sz w:val="22"/>
                <w:szCs w:val="22"/>
              </w:rPr>
            </w:pPr>
            <w:r>
              <w:rPr>
                <w:b/>
                <w:sz w:val="22"/>
                <w:szCs w:val="22"/>
              </w:rPr>
              <w:t>Priority 1</w:t>
            </w:r>
          </w:p>
          <w:p w14:paraId="1D18704A" w14:textId="0C164043" w:rsidR="00CF2D6F" w:rsidRPr="00025ACF" w:rsidRDefault="00CF2D6F" w:rsidP="00BE41D9">
            <w:pPr>
              <w:pStyle w:val="TableRow"/>
              <w:ind w:left="0"/>
              <w:rPr>
                <w:b/>
                <w:sz w:val="22"/>
                <w:szCs w:val="22"/>
              </w:rPr>
            </w:pPr>
            <w:r>
              <w:rPr>
                <w:rFonts w:cs="Calibri"/>
                <w:sz w:val="22"/>
                <w:szCs w:val="22"/>
              </w:rPr>
              <w:t>Social and emotional wellbeing</w:t>
            </w:r>
          </w:p>
        </w:tc>
        <w:tc>
          <w:tcPr>
            <w:tcW w:w="28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D987E41" w14:textId="75978F34" w:rsidR="00CF2D6F" w:rsidRDefault="00CF2D6F" w:rsidP="00CF2D6F">
            <w:pPr>
              <w:pStyle w:val="TableRow"/>
              <w:rPr>
                <w:sz w:val="22"/>
                <w:szCs w:val="22"/>
              </w:rPr>
            </w:pPr>
            <w:r>
              <w:rPr>
                <w:sz w:val="22"/>
                <w:szCs w:val="22"/>
              </w:rPr>
              <w:t>To use pastoral, inclusion and behaviour support teams to support children’s return to school and settle into their new routines.</w:t>
            </w:r>
          </w:p>
        </w:tc>
        <w:tc>
          <w:tcPr>
            <w:tcW w:w="18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E30665E" w14:textId="21C00782" w:rsidR="00CF2D6F" w:rsidRDefault="00CF2D6F" w:rsidP="00C60122">
            <w:pPr>
              <w:pStyle w:val="TableRow"/>
              <w:ind w:left="0"/>
              <w:rPr>
                <w:sz w:val="22"/>
                <w:szCs w:val="22"/>
              </w:rPr>
            </w:pPr>
            <w:r>
              <w:rPr>
                <w:sz w:val="22"/>
                <w:szCs w:val="22"/>
              </w:rPr>
              <w:t>Ongoing all year</w:t>
            </w:r>
          </w:p>
        </w:tc>
        <w:tc>
          <w:tcPr>
            <w:tcW w:w="2693" w:type="dxa"/>
            <w:tcBorders>
              <w:top w:val="single" w:sz="4" w:space="0" w:color="BFBFBF"/>
              <w:left w:val="single" w:sz="4" w:space="0" w:color="BFBFBF"/>
              <w:bottom w:val="single" w:sz="4" w:space="0" w:color="BFBFBF"/>
              <w:right w:val="single" w:sz="4" w:space="0" w:color="BFBFBF"/>
            </w:tcBorders>
          </w:tcPr>
          <w:p w14:paraId="11272F73" w14:textId="77777777" w:rsidR="00CF2D6F" w:rsidRDefault="00A26C48" w:rsidP="00C60122">
            <w:pPr>
              <w:pStyle w:val="TableRow"/>
              <w:ind w:left="0"/>
              <w:rPr>
                <w:sz w:val="22"/>
                <w:szCs w:val="22"/>
              </w:rPr>
            </w:pPr>
            <w:r>
              <w:rPr>
                <w:sz w:val="22"/>
                <w:szCs w:val="22"/>
              </w:rPr>
              <w:t>All children returned to school and settled.</w:t>
            </w:r>
          </w:p>
          <w:p w14:paraId="56E2346C" w14:textId="454D01AA" w:rsidR="00FD215E" w:rsidRDefault="007F6574" w:rsidP="00C60122">
            <w:pPr>
              <w:pStyle w:val="TableRow"/>
              <w:ind w:left="0"/>
              <w:rPr>
                <w:sz w:val="22"/>
                <w:szCs w:val="22"/>
              </w:rPr>
            </w:pPr>
            <w:r w:rsidRPr="00D37593">
              <w:rPr>
                <w:b/>
                <w:sz w:val="22"/>
                <w:szCs w:val="22"/>
              </w:rPr>
              <w:t>Regular</w:t>
            </w:r>
            <w:r w:rsidRPr="00D37593">
              <w:rPr>
                <w:sz w:val="22"/>
                <w:szCs w:val="22"/>
              </w:rPr>
              <w:t xml:space="preserve"> </w:t>
            </w:r>
            <w:r w:rsidR="00FD215E" w:rsidRPr="00D37593">
              <w:rPr>
                <w:sz w:val="22"/>
                <w:szCs w:val="22"/>
              </w:rPr>
              <w:t xml:space="preserve">Inclusion </w:t>
            </w:r>
            <w:r w:rsidRPr="00D37593">
              <w:rPr>
                <w:sz w:val="22"/>
                <w:szCs w:val="22"/>
              </w:rPr>
              <w:t xml:space="preserve">team support overall for </w:t>
            </w:r>
            <w:r w:rsidR="008D0D0E" w:rsidRPr="00D37593">
              <w:rPr>
                <w:sz w:val="22"/>
                <w:szCs w:val="22"/>
              </w:rPr>
              <w:t>P</w:t>
            </w:r>
            <w:r w:rsidR="00FD215E" w:rsidRPr="00D37593">
              <w:rPr>
                <w:sz w:val="22"/>
                <w:szCs w:val="22"/>
              </w:rPr>
              <w:t>upils</w:t>
            </w:r>
            <w:r w:rsidR="00D37593" w:rsidRPr="00D37593">
              <w:rPr>
                <w:sz w:val="22"/>
                <w:szCs w:val="22"/>
              </w:rPr>
              <w:t xml:space="preserve"> =</w:t>
            </w:r>
            <w:r w:rsidR="00D137F0" w:rsidRPr="00D37593">
              <w:rPr>
                <w:sz w:val="22"/>
                <w:szCs w:val="22"/>
              </w:rPr>
              <w:t xml:space="preserve"> </w:t>
            </w:r>
            <w:r w:rsidRPr="00D37593">
              <w:rPr>
                <w:sz w:val="22"/>
                <w:szCs w:val="22"/>
              </w:rPr>
              <w:t xml:space="preserve">101 </w:t>
            </w:r>
          </w:p>
          <w:p w14:paraId="3A786605" w14:textId="6625F2B2" w:rsidR="00D37593" w:rsidRPr="00D37593" w:rsidRDefault="00D37593" w:rsidP="00C60122">
            <w:pPr>
              <w:pStyle w:val="TableRow"/>
              <w:ind w:left="0"/>
              <w:rPr>
                <w:sz w:val="22"/>
                <w:szCs w:val="22"/>
              </w:rPr>
            </w:pPr>
            <w:r>
              <w:rPr>
                <w:sz w:val="22"/>
                <w:szCs w:val="22"/>
              </w:rPr>
              <w:t xml:space="preserve">This also includes support to help parents &amp; pupil relationships / anxieties. </w:t>
            </w:r>
          </w:p>
          <w:p w14:paraId="4E7255E9" w14:textId="0B7BA045" w:rsidR="00FD215E" w:rsidRPr="00D37593" w:rsidRDefault="00D137F0" w:rsidP="00C60122">
            <w:pPr>
              <w:pStyle w:val="TableRow"/>
              <w:ind w:left="0"/>
              <w:rPr>
                <w:sz w:val="22"/>
                <w:szCs w:val="22"/>
              </w:rPr>
            </w:pPr>
            <w:r w:rsidRPr="00D37593">
              <w:rPr>
                <w:sz w:val="22"/>
                <w:szCs w:val="22"/>
              </w:rPr>
              <w:lastRenderedPageBreak/>
              <w:t>Th</w:t>
            </w:r>
            <w:r w:rsidR="00A80B79" w:rsidRPr="00D37593">
              <w:rPr>
                <w:sz w:val="22"/>
                <w:szCs w:val="22"/>
              </w:rPr>
              <w:t>o</w:t>
            </w:r>
            <w:r w:rsidRPr="00D37593">
              <w:rPr>
                <w:sz w:val="22"/>
                <w:szCs w:val="22"/>
              </w:rPr>
              <w:t xml:space="preserve">se attending regular interventions in order to support Emotional Needs: </w:t>
            </w:r>
            <w:r w:rsidR="008D0D0E" w:rsidRPr="00D37593">
              <w:rPr>
                <w:sz w:val="22"/>
                <w:szCs w:val="22"/>
              </w:rPr>
              <w:t xml:space="preserve"> EG:ELSA / Lego Therapy / Nurture</w:t>
            </w:r>
            <w:r w:rsidR="00D37593">
              <w:rPr>
                <w:sz w:val="22"/>
                <w:szCs w:val="22"/>
              </w:rPr>
              <w:t xml:space="preserve"> / 1:1 Social &amp; Emotional sessions</w:t>
            </w:r>
            <w:r w:rsidR="008D0D0E" w:rsidRPr="00D37593">
              <w:rPr>
                <w:sz w:val="22"/>
                <w:szCs w:val="22"/>
              </w:rPr>
              <w:t>:</w:t>
            </w:r>
            <w:r w:rsidR="00FD215E" w:rsidRPr="00D37593">
              <w:rPr>
                <w:sz w:val="22"/>
                <w:szCs w:val="22"/>
              </w:rPr>
              <w:t xml:space="preserve"> </w:t>
            </w:r>
          </w:p>
          <w:p w14:paraId="173D1302" w14:textId="4D7648A8" w:rsidR="00D137F0" w:rsidRPr="00D37593" w:rsidRDefault="00D137F0" w:rsidP="00C60122">
            <w:pPr>
              <w:pStyle w:val="TableRow"/>
              <w:ind w:left="0"/>
              <w:rPr>
                <w:sz w:val="22"/>
                <w:szCs w:val="22"/>
              </w:rPr>
            </w:pPr>
            <w:r w:rsidRPr="00D37593">
              <w:rPr>
                <w:sz w:val="22"/>
                <w:szCs w:val="22"/>
              </w:rPr>
              <w:t xml:space="preserve">= </w:t>
            </w:r>
            <w:r w:rsidR="00D37593" w:rsidRPr="00D37593">
              <w:rPr>
                <w:sz w:val="22"/>
                <w:szCs w:val="22"/>
              </w:rPr>
              <w:t>38 pupils</w:t>
            </w:r>
          </w:p>
          <w:p w14:paraId="41553A94" w14:textId="09801960" w:rsidR="00A26C48" w:rsidRDefault="00A26C48" w:rsidP="00C60122">
            <w:pPr>
              <w:pStyle w:val="TableRow"/>
              <w:ind w:left="0"/>
              <w:rPr>
                <w:sz w:val="22"/>
                <w:szCs w:val="22"/>
              </w:rPr>
            </w:pPr>
          </w:p>
        </w:tc>
        <w:tc>
          <w:tcPr>
            <w:tcW w:w="2410" w:type="dxa"/>
            <w:tcBorders>
              <w:top w:val="single" w:sz="4" w:space="0" w:color="BFBFBF"/>
              <w:left w:val="single" w:sz="4" w:space="0" w:color="BFBFBF"/>
              <w:bottom w:val="single" w:sz="4" w:space="0" w:color="BFBFBF"/>
              <w:right w:val="single" w:sz="4" w:space="0" w:color="BFBFBF"/>
            </w:tcBorders>
          </w:tcPr>
          <w:p w14:paraId="287E074F" w14:textId="77777777" w:rsidR="00CF2D6F" w:rsidRDefault="009E0420" w:rsidP="00A26C48">
            <w:pPr>
              <w:pStyle w:val="TableRow"/>
              <w:ind w:left="0"/>
              <w:rPr>
                <w:sz w:val="22"/>
                <w:szCs w:val="22"/>
              </w:rPr>
            </w:pPr>
            <w:r>
              <w:rPr>
                <w:sz w:val="22"/>
                <w:szCs w:val="22"/>
              </w:rPr>
              <w:lastRenderedPageBreak/>
              <w:t>Two first year trainee social workers have</w:t>
            </w:r>
            <w:r w:rsidR="00A26C48">
              <w:rPr>
                <w:sz w:val="22"/>
                <w:szCs w:val="22"/>
              </w:rPr>
              <w:t xml:space="preserve"> joined the pastoral team to </w:t>
            </w:r>
            <w:r>
              <w:rPr>
                <w:sz w:val="22"/>
                <w:szCs w:val="22"/>
              </w:rPr>
              <w:t xml:space="preserve">provide additional </w:t>
            </w:r>
            <w:r w:rsidR="00A26C48">
              <w:rPr>
                <w:sz w:val="22"/>
                <w:szCs w:val="22"/>
              </w:rPr>
              <w:t xml:space="preserve">support </w:t>
            </w:r>
            <w:r>
              <w:rPr>
                <w:sz w:val="22"/>
                <w:szCs w:val="22"/>
              </w:rPr>
              <w:t xml:space="preserve">to the most vulnerable </w:t>
            </w:r>
            <w:r w:rsidR="00A26C48">
              <w:rPr>
                <w:sz w:val="22"/>
                <w:szCs w:val="22"/>
              </w:rPr>
              <w:t>children and families.</w:t>
            </w:r>
          </w:p>
          <w:p w14:paraId="7E06F0D0" w14:textId="77777777" w:rsidR="009E0420" w:rsidRDefault="009E0420" w:rsidP="00A26C48">
            <w:pPr>
              <w:pStyle w:val="TableRow"/>
              <w:ind w:left="0"/>
              <w:rPr>
                <w:sz w:val="22"/>
                <w:szCs w:val="22"/>
              </w:rPr>
            </w:pPr>
            <w:r>
              <w:rPr>
                <w:sz w:val="22"/>
                <w:szCs w:val="22"/>
              </w:rPr>
              <w:t xml:space="preserve">Playground behaviour is exceptional as pupils </w:t>
            </w:r>
            <w:r>
              <w:rPr>
                <w:sz w:val="22"/>
                <w:szCs w:val="22"/>
              </w:rPr>
              <w:lastRenderedPageBreak/>
              <w:t xml:space="preserve">remain in individual class bubbles. </w:t>
            </w:r>
          </w:p>
          <w:p w14:paraId="1AE58BB1" w14:textId="657F0392" w:rsidR="009E0420" w:rsidRDefault="009E0420" w:rsidP="00A26C48">
            <w:pPr>
              <w:pStyle w:val="TableRow"/>
              <w:ind w:left="0"/>
              <w:rPr>
                <w:sz w:val="22"/>
                <w:szCs w:val="22"/>
              </w:rPr>
            </w:pPr>
            <w:r>
              <w:rPr>
                <w:sz w:val="22"/>
                <w:szCs w:val="22"/>
              </w:rPr>
              <w:t xml:space="preserve">Small class bubbles (8-10 pupils) during lockdown enabled more individual pupil support. </w:t>
            </w:r>
            <w:proofErr w:type="gramStart"/>
            <w:r>
              <w:rPr>
                <w:sz w:val="22"/>
                <w:szCs w:val="22"/>
              </w:rPr>
              <w:t>Again</w:t>
            </w:r>
            <w:proofErr w:type="gramEnd"/>
            <w:r>
              <w:rPr>
                <w:sz w:val="22"/>
                <w:szCs w:val="22"/>
              </w:rPr>
              <w:t xml:space="preserve"> pupils attitudes were positive and engagement in school was high.  </w:t>
            </w:r>
          </w:p>
        </w:tc>
        <w:tc>
          <w:tcPr>
            <w:tcW w:w="3344" w:type="dxa"/>
            <w:tcBorders>
              <w:top w:val="single" w:sz="4" w:space="0" w:color="BFBFBF"/>
              <w:left w:val="single" w:sz="4" w:space="0" w:color="BFBFBF"/>
              <w:bottom w:val="single" w:sz="4" w:space="0" w:color="BFBFBF"/>
              <w:right w:val="single" w:sz="4" w:space="0" w:color="BFBFBF"/>
            </w:tcBorders>
          </w:tcPr>
          <w:p w14:paraId="0C1700BF" w14:textId="3C15DBDD" w:rsidR="006903FF" w:rsidRDefault="006903FF" w:rsidP="006903FF">
            <w:pPr>
              <w:pStyle w:val="TableRow"/>
              <w:numPr>
                <w:ilvl w:val="0"/>
                <w:numId w:val="14"/>
              </w:numPr>
              <w:rPr>
                <w:i/>
                <w:sz w:val="20"/>
              </w:rPr>
            </w:pPr>
            <w:r w:rsidRPr="008873AF">
              <w:rPr>
                <w:i/>
                <w:sz w:val="20"/>
              </w:rPr>
              <w:lastRenderedPageBreak/>
              <w:t xml:space="preserve">Tailored sessions to meet the needs of our most challenging children </w:t>
            </w:r>
            <w:r w:rsidR="002B3B47">
              <w:rPr>
                <w:i/>
                <w:sz w:val="20"/>
              </w:rPr>
              <w:t>has helped</w:t>
            </w:r>
            <w:r w:rsidR="002E2D73">
              <w:rPr>
                <w:i/>
                <w:sz w:val="20"/>
              </w:rPr>
              <w:t xml:space="preserve"> some of our vulnerable children settle back into larger classes after lockdown. </w:t>
            </w:r>
            <w:r>
              <w:rPr>
                <w:i/>
                <w:sz w:val="20"/>
              </w:rPr>
              <w:t xml:space="preserve">An example of this is a personalised programme, led by a member of the inclusion team to support </w:t>
            </w:r>
            <w:proofErr w:type="gramStart"/>
            <w:r>
              <w:rPr>
                <w:i/>
                <w:sz w:val="20"/>
              </w:rPr>
              <w:t>7</w:t>
            </w:r>
            <w:proofErr w:type="gramEnd"/>
            <w:r>
              <w:rPr>
                <w:i/>
                <w:sz w:val="20"/>
              </w:rPr>
              <w:t xml:space="preserve"> challenging year 5 pupils.</w:t>
            </w:r>
          </w:p>
          <w:p w14:paraId="39C7B73E" w14:textId="7E293620" w:rsidR="006903FF" w:rsidRDefault="006903FF" w:rsidP="006903FF">
            <w:pPr>
              <w:pStyle w:val="TableRow"/>
              <w:numPr>
                <w:ilvl w:val="0"/>
                <w:numId w:val="14"/>
              </w:numPr>
              <w:rPr>
                <w:i/>
                <w:sz w:val="20"/>
              </w:rPr>
            </w:pPr>
            <w:r>
              <w:rPr>
                <w:i/>
                <w:sz w:val="20"/>
              </w:rPr>
              <w:lastRenderedPageBreak/>
              <w:t xml:space="preserve">The team </w:t>
            </w:r>
            <w:r w:rsidR="002E2D73">
              <w:rPr>
                <w:i/>
                <w:sz w:val="20"/>
              </w:rPr>
              <w:t xml:space="preserve">has </w:t>
            </w:r>
            <w:r>
              <w:rPr>
                <w:i/>
                <w:sz w:val="20"/>
              </w:rPr>
              <w:t>work</w:t>
            </w:r>
            <w:r w:rsidR="002E2D73">
              <w:rPr>
                <w:i/>
                <w:sz w:val="20"/>
              </w:rPr>
              <w:t>ed</w:t>
            </w:r>
            <w:r>
              <w:rPr>
                <w:i/>
                <w:sz w:val="20"/>
              </w:rPr>
              <w:t xml:space="preserve"> tirelessly to develop professional partnerships e.g. with MHST, YOT, PCSO, CAMHS. Social care (MASH), police</w:t>
            </w:r>
            <w:r w:rsidR="002E2D73">
              <w:rPr>
                <w:i/>
                <w:sz w:val="20"/>
              </w:rPr>
              <w:t xml:space="preserve"> </w:t>
            </w:r>
            <w:proofErr w:type="spellStart"/>
            <w:r w:rsidR="002E2D73">
              <w:rPr>
                <w:i/>
                <w:sz w:val="20"/>
              </w:rPr>
              <w:t>etc</w:t>
            </w:r>
            <w:proofErr w:type="spellEnd"/>
            <w:r w:rsidR="002E2D73">
              <w:rPr>
                <w:i/>
                <w:sz w:val="20"/>
              </w:rPr>
              <w:t xml:space="preserve"> to support some of Year 5 boys with their social and emotional wellbeing. </w:t>
            </w:r>
          </w:p>
          <w:p w14:paraId="3DCD98D8" w14:textId="4BD6E728" w:rsidR="006903FF" w:rsidRDefault="006903FF" w:rsidP="006903FF">
            <w:pPr>
              <w:pStyle w:val="TableRow"/>
              <w:numPr>
                <w:ilvl w:val="0"/>
                <w:numId w:val="14"/>
              </w:numPr>
              <w:rPr>
                <w:i/>
                <w:sz w:val="20"/>
              </w:rPr>
            </w:pPr>
            <w:r>
              <w:rPr>
                <w:i/>
                <w:sz w:val="20"/>
              </w:rPr>
              <w:t xml:space="preserve">Breakfast club has been allocated on a needs led basis this year. </w:t>
            </w:r>
            <w:r w:rsidR="002E2D73">
              <w:rPr>
                <w:i/>
                <w:sz w:val="20"/>
              </w:rPr>
              <w:t xml:space="preserve">This has helped the children settle back into class ready for learning. </w:t>
            </w:r>
          </w:p>
          <w:p w14:paraId="409E713B" w14:textId="39178279" w:rsidR="006903FF" w:rsidRDefault="006903FF" w:rsidP="006903FF">
            <w:pPr>
              <w:pStyle w:val="TableRow"/>
              <w:numPr>
                <w:ilvl w:val="0"/>
                <w:numId w:val="14"/>
              </w:numPr>
              <w:rPr>
                <w:i/>
                <w:sz w:val="20"/>
              </w:rPr>
            </w:pPr>
            <w:r w:rsidRPr="00E114EA">
              <w:rPr>
                <w:i/>
                <w:sz w:val="20"/>
              </w:rPr>
              <w:t xml:space="preserve">The Inclusion team </w:t>
            </w:r>
            <w:r w:rsidR="0046221A">
              <w:rPr>
                <w:i/>
                <w:sz w:val="20"/>
              </w:rPr>
              <w:t>have provided</w:t>
            </w:r>
            <w:r w:rsidRPr="00E114EA">
              <w:rPr>
                <w:i/>
                <w:sz w:val="20"/>
              </w:rPr>
              <w:t xml:space="preserve"> interventions </w:t>
            </w:r>
            <w:r w:rsidR="0046221A">
              <w:rPr>
                <w:i/>
                <w:sz w:val="20"/>
              </w:rPr>
              <w:t>to allow</w:t>
            </w:r>
            <w:r w:rsidRPr="00E114EA">
              <w:rPr>
                <w:i/>
                <w:sz w:val="20"/>
              </w:rPr>
              <w:t xml:space="preserve"> children </w:t>
            </w:r>
            <w:r w:rsidR="0020201B">
              <w:rPr>
                <w:i/>
                <w:sz w:val="20"/>
              </w:rPr>
              <w:t xml:space="preserve">to express emotions and feelings. This has been extended to parents too. </w:t>
            </w:r>
            <w:r>
              <w:rPr>
                <w:i/>
                <w:sz w:val="20"/>
              </w:rPr>
              <w:t xml:space="preserve">This work </w:t>
            </w:r>
            <w:r w:rsidR="0020201B">
              <w:rPr>
                <w:i/>
                <w:sz w:val="20"/>
              </w:rPr>
              <w:t xml:space="preserve">has </w:t>
            </w:r>
            <w:proofErr w:type="gramStart"/>
            <w:r>
              <w:rPr>
                <w:i/>
                <w:sz w:val="20"/>
              </w:rPr>
              <w:t>impact</w:t>
            </w:r>
            <w:r w:rsidR="0020201B">
              <w:rPr>
                <w:i/>
                <w:sz w:val="20"/>
              </w:rPr>
              <w:t>ed</w:t>
            </w:r>
            <w:r>
              <w:rPr>
                <w:i/>
                <w:sz w:val="20"/>
              </w:rPr>
              <w:t xml:space="preserve"> on</w:t>
            </w:r>
            <w:proofErr w:type="gramEnd"/>
            <w:r>
              <w:rPr>
                <w:i/>
                <w:sz w:val="20"/>
              </w:rPr>
              <w:t xml:space="preserve"> the wellbeing of the pupils and parents.</w:t>
            </w:r>
          </w:p>
          <w:p w14:paraId="6A486813" w14:textId="376B1515" w:rsidR="006903FF" w:rsidRDefault="006903FF" w:rsidP="006903FF">
            <w:pPr>
              <w:pStyle w:val="TableRow"/>
              <w:numPr>
                <w:ilvl w:val="0"/>
                <w:numId w:val="14"/>
              </w:numPr>
              <w:rPr>
                <w:i/>
                <w:sz w:val="20"/>
              </w:rPr>
            </w:pPr>
            <w:r w:rsidRPr="00772DEC">
              <w:rPr>
                <w:i/>
                <w:sz w:val="20"/>
              </w:rPr>
              <w:t>Fulltime ELSA support worker</w:t>
            </w:r>
            <w:r w:rsidR="0020201B">
              <w:rPr>
                <w:i/>
                <w:sz w:val="20"/>
              </w:rPr>
              <w:t xml:space="preserve"> offered</w:t>
            </w:r>
            <w:r>
              <w:rPr>
                <w:i/>
                <w:sz w:val="20"/>
              </w:rPr>
              <w:t xml:space="preserve"> a consistent approach to targeted pupils. Over the </w:t>
            </w:r>
            <w:proofErr w:type="gramStart"/>
            <w:r>
              <w:rPr>
                <w:i/>
                <w:sz w:val="20"/>
              </w:rPr>
              <w:t>year</w:t>
            </w:r>
            <w:proofErr w:type="gramEnd"/>
            <w:r>
              <w:rPr>
                <w:i/>
                <w:sz w:val="20"/>
              </w:rPr>
              <w:t xml:space="preserve"> she has worked with 35 pupils of which 19 have moved on successfully, with no further intervention required. Two pupils have moved on due to other interventions (nurture provision and daily SALT) </w:t>
            </w:r>
          </w:p>
          <w:p w14:paraId="73F7A71D" w14:textId="22149E86" w:rsidR="00CF2D6F" w:rsidRDefault="006903FF" w:rsidP="0020201B">
            <w:pPr>
              <w:pStyle w:val="TableRow"/>
              <w:numPr>
                <w:ilvl w:val="0"/>
                <w:numId w:val="14"/>
              </w:numPr>
              <w:rPr>
                <w:sz w:val="22"/>
                <w:szCs w:val="22"/>
              </w:rPr>
            </w:pPr>
            <w:r w:rsidRPr="00074822">
              <w:rPr>
                <w:i/>
                <w:sz w:val="20"/>
              </w:rPr>
              <w:t>Nurture provision – 24 pupils have accessed this provision (autumn &amp; summer term)</w:t>
            </w:r>
            <w:r>
              <w:rPr>
                <w:i/>
                <w:sz w:val="20"/>
              </w:rPr>
              <w:t xml:space="preserve">. All staff and parents have described the positive impact on their child’s behaviour and attitudes </w:t>
            </w:r>
            <w:r>
              <w:rPr>
                <w:i/>
                <w:sz w:val="20"/>
              </w:rPr>
              <w:lastRenderedPageBreak/>
              <w:t xml:space="preserve">to learning at home and at school. </w:t>
            </w:r>
          </w:p>
        </w:tc>
      </w:tr>
      <w:tr w:rsidR="00CF2D6F" w14:paraId="11C41D9F" w14:textId="7ED3035C" w:rsidTr="002B3B47">
        <w:trPr>
          <w:trHeight w:val="381"/>
        </w:trPr>
        <w:tc>
          <w:tcPr>
            <w:tcW w:w="22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A3EE50" w14:textId="7CAC53B8" w:rsidR="00CF2D6F" w:rsidRPr="00025ACF" w:rsidRDefault="00CF2D6F" w:rsidP="00025ACF">
            <w:pPr>
              <w:pStyle w:val="TableRow"/>
              <w:ind w:left="0"/>
              <w:rPr>
                <w:b/>
                <w:sz w:val="22"/>
                <w:szCs w:val="22"/>
              </w:rPr>
            </w:pPr>
            <w:r>
              <w:rPr>
                <w:b/>
                <w:sz w:val="22"/>
                <w:szCs w:val="22"/>
              </w:rPr>
              <w:lastRenderedPageBreak/>
              <w:t>Priority 2</w:t>
            </w:r>
          </w:p>
          <w:p w14:paraId="17EF289A" w14:textId="2FB695F7" w:rsidR="00CF2D6F" w:rsidRPr="00214AFE" w:rsidRDefault="00CF2D6F" w:rsidP="00025ACF">
            <w:pPr>
              <w:pStyle w:val="TableRow"/>
              <w:ind w:left="0"/>
              <w:rPr>
                <w:sz w:val="22"/>
                <w:szCs w:val="22"/>
              </w:rPr>
            </w:pPr>
            <w:r w:rsidRPr="00214AFE">
              <w:rPr>
                <w:sz w:val="22"/>
                <w:szCs w:val="22"/>
              </w:rPr>
              <w:t>Phonics and reading</w:t>
            </w:r>
          </w:p>
        </w:tc>
        <w:tc>
          <w:tcPr>
            <w:tcW w:w="28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194DE11" w14:textId="22082045" w:rsidR="00CF2D6F" w:rsidRDefault="00CF2D6F" w:rsidP="00BE41D9">
            <w:pPr>
              <w:pStyle w:val="TableRow"/>
              <w:rPr>
                <w:rFonts w:cs="Arial"/>
                <w:sz w:val="22"/>
                <w:szCs w:val="22"/>
              </w:rPr>
            </w:pPr>
            <w:r>
              <w:rPr>
                <w:rFonts w:cs="Arial"/>
                <w:sz w:val="22"/>
                <w:szCs w:val="22"/>
              </w:rPr>
              <w:t>Year R – 3</w:t>
            </w:r>
            <w:r w:rsidRPr="005F2ABC">
              <w:rPr>
                <w:rFonts w:cs="Arial"/>
                <w:sz w:val="22"/>
                <w:szCs w:val="22"/>
              </w:rPr>
              <w:t xml:space="preserve"> are small group interventions for phonics and fine motor skills.</w:t>
            </w:r>
          </w:p>
          <w:p w14:paraId="79183CB1" w14:textId="75369332" w:rsidR="00CF2D6F" w:rsidRPr="005F2ABC" w:rsidRDefault="00CF2D6F" w:rsidP="00BE41D9">
            <w:pPr>
              <w:pStyle w:val="TableRow"/>
              <w:rPr>
                <w:rFonts w:cs="Arial"/>
                <w:sz w:val="22"/>
                <w:szCs w:val="22"/>
              </w:rPr>
            </w:pPr>
            <w:r w:rsidRPr="005F2ABC">
              <w:rPr>
                <w:rFonts w:cs="Arial"/>
                <w:sz w:val="22"/>
                <w:szCs w:val="22"/>
              </w:rPr>
              <w:t>Year 1, 2 and 3 phonics catch up interventions provided by in-house phonics specialist.</w:t>
            </w:r>
          </w:p>
          <w:p w14:paraId="49B9D87A" w14:textId="77777777" w:rsidR="00CF2D6F" w:rsidRPr="005F2ABC" w:rsidRDefault="00CF2D6F" w:rsidP="00BE41D9">
            <w:pPr>
              <w:pStyle w:val="TableRow"/>
              <w:rPr>
                <w:rFonts w:cs="Arial"/>
                <w:sz w:val="22"/>
                <w:szCs w:val="22"/>
              </w:rPr>
            </w:pPr>
          </w:p>
          <w:p w14:paraId="2DFDBD87" w14:textId="1D0E672F" w:rsidR="00CF2D6F" w:rsidRPr="005F2ABC" w:rsidRDefault="00CF2D6F" w:rsidP="00C60122">
            <w:pPr>
              <w:pStyle w:val="TableRow"/>
              <w:rPr>
                <w:rFonts w:cs="Arial"/>
                <w:sz w:val="22"/>
                <w:szCs w:val="22"/>
              </w:rPr>
            </w:pPr>
            <w:r>
              <w:rPr>
                <w:rFonts w:cs="Arial"/>
                <w:sz w:val="22"/>
                <w:szCs w:val="22"/>
              </w:rPr>
              <w:t>Teachers and TAs to recei</w:t>
            </w:r>
            <w:r w:rsidRPr="005F2ABC">
              <w:rPr>
                <w:rFonts w:cs="Arial"/>
                <w:sz w:val="22"/>
                <w:szCs w:val="22"/>
              </w:rPr>
              <w:t>ve phonics training provided by in-house phonics specialist.</w:t>
            </w:r>
          </w:p>
          <w:p w14:paraId="53E5F1A8" w14:textId="77777777" w:rsidR="00CF2D6F" w:rsidRPr="005F2ABC" w:rsidRDefault="00CF2D6F" w:rsidP="00C60122">
            <w:pPr>
              <w:pStyle w:val="TableRow"/>
              <w:rPr>
                <w:rFonts w:cs="Arial"/>
                <w:sz w:val="22"/>
                <w:szCs w:val="22"/>
              </w:rPr>
            </w:pPr>
          </w:p>
          <w:p w14:paraId="2F3A0597" w14:textId="77777777" w:rsidR="00CF2D6F" w:rsidRDefault="00CF2D6F" w:rsidP="00C60122">
            <w:pPr>
              <w:pStyle w:val="TableRow"/>
              <w:rPr>
                <w:rFonts w:cs="Arial"/>
                <w:sz w:val="22"/>
                <w:szCs w:val="22"/>
              </w:rPr>
            </w:pPr>
            <w:r w:rsidRPr="005F2ABC">
              <w:rPr>
                <w:rFonts w:cs="Arial"/>
                <w:sz w:val="22"/>
                <w:szCs w:val="22"/>
              </w:rPr>
              <w:t>Year 3 – 6 1-1 or group tutoring/bounce back intervention/booster groups.</w:t>
            </w:r>
          </w:p>
          <w:p w14:paraId="5BCE123B" w14:textId="77777777" w:rsidR="00CF2D6F" w:rsidRDefault="00CF2D6F" w:rsidP="00C60122">
            <w:pPr>
              <w:pStyle w:val="TableRow"/>
              <w:rPr>
                <w:rFonts w:cs="Arial"/>
                <w:sz w:val="22"/>
                <w:szCs w:val="22"/>
              </w:rPr>
            </w:pPr>
          </w:p>
          <w:p w14:paraId="4CF564B3" w14:textId="0270E53D" w:rsidR="00CF2D6F" w:rsidRPr="005F2ABC" w:rsidRDefault="00CF2D6F" w:rsidP="00C60122">
            <w:pPr>
              <w:pStyle w:val="TableRow"/>
              <w:rPr>
                <w:rFonts w:cs="Arial"/>
                <w:sz w:val="22"/>
                <w:szCs w:val="22"/>
              </w:rPr>
            </w:pPr>
            <w:r>
              <w:rPr>
                <w:rFonts w:cs="Arial"/>
                <w:sz w:val="22"/>
                <w:szCs w:val="22"/>
              </w:rPr>
              <w:t xml:space="preserve">Employ fourth teacher to provide catch-up curriculum in Year 6. </w:t>
            </w:r>
          </w:p>
        </w:tc>
        <w:tc>
          <w:tcPr>
            <w:tcW w:w="18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D1BAD4C" w14:textId="77777777" w:rsidR="00CF2D6F" w:rsidRPr="005F2ABC" w:rsidRDefault="00CF2D6F" w:rsidP="00C60122">
            <w:pPr>
              <w:pStyle w:val="TableRow"/>
              <w:ind w:left="0"/>
              <w:rPr>
                <w:rFonts w:cs="Arial"/>
                <w:sz w:val="22"/>
                <w:szCs w:val="22"/>
              </w:rPr>
            </w:pPr>
            <w:r w:rsidRPr="005F2ABC">
              <w:rPr>
                <w:rFonts w:cs="Arial"/>
                <w:sz w:val="22"/>
                <w:szCs w:val="22"/>
              </w:rPr>
              <w:t>Year 1 – May 2020</w:t>
            </w:r>
          </w:p>
          <w:p w14:paraId="03BDB1B1" w14:textId="5E231EA8" w:rsidR="00CF2D6F" w:rsidRDefault="00CF2D6F" w:rsidP="00C60122">
            <w:pPr>
              <w:pStyle w:val="TableRow"/>
              <w:ind w:left="0"/>
              <w:rPr>
                <w:rFonts w:cs="Arial"/>
                <w:sz w:val="22"/>
                <w:szCs w:val="22"/>
              </w:rPr>
            </w:pPr>
            <w:r w:rsidRPr="005F2ABC">
              <w:rPr>
                <w:rFonts w:cs="Arial"/>
                <w:sz w:val="22"/>
                <w:szCs w:val="22"/>
              </w:rPr>
              <w:t>Year 2 – Oct 2020</w:t>
            </w:r>
          </w:p>
          <w:p w14:paraId="045C07A0" w14:textId="599D2A83" w:rsidR="00CF2D6F" w:rsidRDefault="00CF2D6F" w:rsidP="00C60122">
            <w:pPr>
              <w:pStyle w:val="TableRow"/>
              <w:ind w:left="0"/>
              <w:rPr>
                <w:rFonts w:cs="Arial"/>
                <w:sz w:val="22"/>
                <w:szCs w:val="22"/>
              </w:rPr>
            </w:pPr>
          </w:p>
          <w:p w14:paraId="7D74D5ED" w14:textId="6BA47863" w:rsidR="00CF2D6F" w:rsidRPr="005F2ABC" w:rsidRDefault="00CF2D6F" w:rsidP="00C60122">
            <w:pPr>
              <w:pStyle w:val="TableRow"/>
              <w:ind w:left="0"/>
              <w:rPr>
                <w:rFonts w:cs="Arial"/>
                <w:sz w:val="22"/>
                <w:szCs w:val="22"/>
              </w:rPr>
            </w:pPr>
            <w:r>
              <w:rPr>
                <w:rFonts w:cs="Arial"/>
                <w:sz w:val="22"/>
                <w:szCs w:val="22"/>
              </w:rPr>
              <w:t>Ongoing all year</w:t>
            </w:r>
          </w:p>
          <w:p w14:paraId="657C863C" w14:textId="77777777" w:rsidR="00CF2D6F" w:rsidRPr="005F2ABC" w:rsidRDefault="00CF2D6F" w:rsidP="00C60122">
            <w:pPr>
              <w:pStyle w:val="TableRow"/>
              <w:ind w:left="0"/>
              <w:rPr>
                <w:rFonts w:cs="Arial"/>
                <w:sz w:val="22"/>
                <w:szCs w:val="22"/>
              </w:rPr>
            </w:pPr>
          </w:p>
          <w:p w14:paraId="7D250F2D" w14:textId="0930F9C0" w:rsidR="00CF2D6F" w:rsidRPr="005F2ABC" w:rsidRDefault="00CF2D6F" w:rsidP="00C60122">
            <w:pPr>
              <w:pStyle w:val="TableRow"/>
              <w:ind w:left="0"/>
              <w:rPr>
                <w:rFonts w:cs="Arial"/>
                <w:sz w:val="22"/>
                <w:szCs w:val="22"/>
              </w:rPr>
            </w:pPr>
          </w:p>
        </w:tc>
        <w:tc>
          <w:tcPr>
            <w:tcW w:w="2693" w:type="dxa"/>
            <w:tcBorders>
              <w:top w:val="single" w:sz="4" w:space="0" w:color="BFBFBF"/>
              <w:left w:val="single" w:sz="4" w:space="0" w:color="BFBFBF"/>
              <w:bottom w:val="single" w:sz="4" w:space="0" w:color="BFBFBF"/>
              <w:right w:val="single" w:sz="4" w:space="0" w:color="BFBFBF"/>
            </w:tcBorders>
          </w:tcPr>
          <w:p w14:paraId="22068515" w14:textId="60D5CBD9" w:rsidR="00EC6B06" w:rsidRDefault="006A3C4F" w:rsidP="00C60122">
            <w:pPr>
              <w:pStyle w:val="TableRow"/>
              <w:ind w:left="0"/>
              <w:rPr>
                <w:rFonts w:cs="Arial"/>
                <w:sz w:val="22"/>
                <w:szCs w:val="22"/>
              </w:rPr>
            </w:pPr>
            <w:hyperlink r:id="rId12" w:history="1">
              <w:r w:rsidR="00EC6B06" w:rsidRPr="00EC6B06">
                <w:rPr>
                  <w:rStyle w:val="Hyperlink"/>
                  <w:rFonts w:cs="Arial"/>
                  <w:sz w:val="22"/>
                  <w:szCs w:val="22"/>
                </w:rPr>
                <w:t>Phonics Autumn Overview report</w:t>
              </w:r>
            </w:hyperlink>
          </w:p>
          <w:p w14:paraId="6FC94E56" w14:textId="18CF3626" w:rsidR="00EC6B06" w:rsidRDefault="00EC6B06" w:rsidP="00C60122">
            <w:pPr>
              <w:pStyle w:val="TableRow"/>
              <w:ind w:left="0"/>
              <w:rPr>
                <w:rFonts w:cs="Arial"/>
                <w:sz w:val="22"/>
                <w:szCs w:val="22"/>
              </w:rPr>
            </w:pPr>
          </w:p>
          <w:p w14:paraId="605D21D9" w14:textId="2C9419ED" w:rsidR="00EC6B06" w:rsidRDefault="006A3C4F" w:rsidP="00C60122">
            <w:pPr>
              <w:pStyle w:val="TableRow"/>
              <w:ind w:left="0"/>
              <w:rPr>
                <w:rFonts w:cs="Arial"/>
                <w:sz w:val="22"/>
                <w:szCs w:val="22"/>
              </w:rPr>
            </w:pPr>
            <w:hyperlink r:id="rId13" w:history="1">
              <w:r w:rsidR="00EC6B06" w:rsidRPr="00EC6B06">
                <w:rPr>
                  <w:rStyle w:val="Hyperlink"/>
                  <w:rFonts w:cs="Arial"/>
                  <w:sz w:val="22"/>
                  <w:szCs w:val="22"/>
                </w:rPr>
                <w:t>Phonics Autumn screening report</w:t>
              </w:r>
            </w:hyperlink>
          </w:p>
          <w:p w14:paraId="1ECD3ACA" w14:textId="77777777" w:rsidR="00A26C48" w:rsidRDefault="00A26C48" w:rsidP="00C60122">
            <w:pPr>
              <w:pStyle w:val="TableRow"/>
              <w:ind w:left="0"/>
              <w:rPr>
                <w:rFonts w:cs="Arial"/>
                <w:sz w:val="22"/>
                <w:szCs w:val="22"/>
              </w:rPr>
            </w:pPr>
          </w:p>
          <w:p w14:paraId="27EBFDC0" w14:textId="227CA488" w:rsidR="00A26C48" w:rsidRPr="005F2ABC" w:rsidRDefault="00A26C48" w:rsidP="00A26C48">
            <w:pPr>
              <w:pStyle w:val="TableRow"/>
              <w:ind w:left="0"/>
              <w:rPr>
                <w:rFonts w:cs="Arial"/>
                <w:sz w:val="22"/>
                <w:szCs w:val="22"/>
              </w:rPr>
            </w:pPr>
            <w:r>
              <w:rPr>
                <w:rFonts w:cs="Arial"/>
                <w:sz w:val="22"/>
                <w:szCs w:val="22"/>
              </w:rPr>
              <w:t xml:space="preserve">Due to lockdown </w:t>
            </w:r>
            <w:proofErr w:type="gramStart"/>
            <w:r>
              <w:rPr>
                <w:rFonts w:cs="Arial"/>
                <w:sz w:val="22"/>
                <w:szCs w:val="22"/>
              </w:rPr>
              <w:t>3</w:t>
            </w:r>
            <w:proofErr w:type="gramEnd"/>
            <w:r>
              <w:rPr>
                <w:rFonts w:cs="Arial"/>
                <w:sz w:val="22"/>
                <w:szCs w:val="22"/>
              </w:rPr>
              <w:t xml:space="preserve"> we were unable to appoint fourth Year 6 teacher to provide the catch up programme.</w:t>
            </w:r>
          </w:p>
        </w:tc>
        <w:tc>
          <w:tcPr>
            <w:tcW w:w="2410" w:type="dxa"/>
            <w:tcBorders>
              <w:top w:val="single" w:sz="4" w:space="0" w:color="BFBFBF"/>
              <w:left w:val="single" w:sz="4" w:space="0" w:color="BFBFBF"/>
              <w:bottom w:val="single" w:sz="4" w:space="0" w:color="BFBFBF"/>
              <w:right w:val="single" w:sz="4" w:space="0" w:color="BFBFBF"/>
            </w:tcBorders>
          </w:tcPr>
          <w:p w14:paraId="0BA93643" w14:textId="6E74681F" w:rsidR="00720650" w:rsidRPr="00720650" w:rsidRDefault="006A3C4F" w:rsidP="00720650">
            <w:pPr>
              <w:pStyle w:val="TableRow"/>
              <w:ind w:left="0"/>
              <w:rPr>
                <w:sz w:val="22"/>
              </w:rPr>
            </w:pPr>
            <w:hyperlink r:id="rId14" w:history="1">
              <w:r w:rsidR="00720650" w:rsidRPr="00720650">
                <w:rPr>
                  <w:rStyle w:val="Hyperlink"/>
                  <w:sz w:val="22"/>
                </w:rPr>
                <w:t>Phonics Autumn 1 and 2 summary</w:t>
              </w:r>
            </w:hyperlink>
          </w:p>
          <w:p w14:paraId="0AFD9966" w14:textId="77777777" w:rsidR="00720650" w:rsidRDefault="00720650" w:rsidP="00C60122">
            <w:pPr>
              <w:pStyle w:val="TableRow"/>
              <w:ind w:left="0"/>
              <w:rPr>
                <w:rFonts w:cs="Arial"/>
                <w:sz w:val="22"/>
                <w:szCs w:val="22"/>
              </w:rPr>
            </w:pPr>
          </w:p>
          <w:p w14:paraId="20E4FC21" w14:textId="77777777" w:rsidR="00720650" w:rsidRDefault="00720650" w:rsidP="00C60122">
            <w:pPr>
              <w:pStyle w:val="TableRow"/>
              <w:ind w:left="0"/>
              <w:rPr>
                <w:rFonts w:cs="Arial"/>
                <w:sz w:val="22"/>
                <w:szCs w:val="22"/>
              </w:rPr>
            </w:pPr>
          </w:p>
          <w:p w14:paraId="17AAC598" w14:textId="3DF2A65C" w:rsidR="00CF2D6F" w:rsidRPr="005F2ABC" w:rsidRDefault="00A26C48" w:rsidP="00C60122">
            <w:pPr>
              <w:pStyle w:val="TableRow"/>
              <w:ind w:left="0"/>
              <w:rPr>
                <w:rFonts w:cs="Arial"/>
                <w:sz w:val="22"/>
                <w:szCs w:val="22"/>
              </w:rPr>
            </w:pPr>
            <w:r>
              <w:rPr>
                <w:rFonts w:cs="Arial"/>
                <w:sz w:val="22"/>
                <w:szCs w:val="22"/>
              </w:rPr>
              <w:t xml:space="preserve">Small group phonics interventions continued remotely and in school throughout </w:t>
            </w:r>
            <w:proofErr w:type="gramStart"/>
            <w:r>
              <w:rPr>
                <w:rFonts w:cs="Arial"/>
                <w:sz w:val="22"/>
                <w:szCs w:val="22"/>
              </w:rPr>
              <w:t>lockdown</w:t>
            </w:r>
            <w:proofErr w:type="gramEnd"/>
            <w:r>
              <w:rPr>
                <w:rFonts w:cs="Arial"/>
                <w:sz w:val="22"/>
                <w:szCs w:val="22"/>
              </w:rPr>
              <w:t xml:space="preserve"> 3</w:t>
            </w:r>
            <w:r w:rsidR="00861BC1">
              <w:rPr>
                <w:rFonts w:cs="Arial"/>
                <w:sz w:val="22"/>
                <w:szCs w:val="22"/>
              </w:rPr>
              <w:t xml:space="preserve"> (</w:t>
            </w:r>
            <w:hyperlink r:id="rId15" w:history="1">
              <w:r w:rsidR="00861BC1" w:rsidRPr="00CD534E">
                <w:rPr>
                  <w:rStyle w:val="Hyperlink"/>
                  <w:rFonts w:cs="Arial"/>
                  <w:sz w:val="22"/>
                  <w:szCs w:val="22"/>
                </w:rPr>
                <w:t>please see report</w:t>
              </w:r>
            </w:hyperlink>
            <w:r w:rsidR="00861BC1">
              <w:rPr>
                <w:rFonts w:cs="Arial"/>
                <w:sz w:val="22"/>
                <w:szCs w:val="22"/>
              </w:rPr>
              <w:t>)</w:t>
            </w:r>
            <w:r>
              <w:rPr>
                <w:rFonts w:cs="Arial"/>
                <w:sz w:val="22"/>
                <w:szCs w:val="22"/>
              </w:rPr>
              <w:t>.</w:t>
            </w:r>
          </w:p>
        </w:tc>
        <w:tc>
          <w:tcPr>
            <w:tcW w:w="3344" w:type="dxa"/>
            <w:tcBorders>
              <w:top w:val="single" w:sz="4" w:space="0" w:color="BFBFBF"/>
              <w:left w:val="single" w:sz="4" w:space="0" w:color="BFBFBF"/>
              <w:bottom w:val="single" w:sz="4" w:space="0" w:color="BFBFBF"/>
              <w:right w:val="single" w:sz="4" w:space="0" w:color="BFBFBF"/>
            </w:tcBorders>
          </w:tcPr>
          <w:p w14:paraId="7BFEECE0" w14:textId="77777777" w:rsidR="00AF0929" w:rsidRPr="00AF0929" w:rsidRDefault="007A2D87" w:rsidP="00CD041C">
            <w:pPr>
              <w:pStyle w:val="TableRow"/>
              <w:numPr>
                <w:ilvl w:val="0"/>
                <w:numId w:val="14"/>
              </w:numPr>
              <w:rPr>
                <w:i/>
                <w:sz w:val="22"/>
                <w:szCs w:val="22"/>
              </w:rPr>
            </w:pPr>
            <w:r w:rsidRPr="00AF0929">
              <w:rPr>
                <w:rFonts w:cs="Arial"/>
                <w:i/>
                <w:sz w:val="22"/>
                <w:szCs w:val="22"/>
              </w:rPr>
              <w:t xml:space="preserve">Intervention plans, CPD and monitoring continued throughout the summer term. </w:t>
            </w:r>
          </w:p>
          <w:p w14:paraId="22AA3CF8" w14:textId="77777777" w:rsidR="00AF0929" w:rsidRPr="00AF0929" w:rsidRDefault="006850D7" w:rsidP="00CD041C">
            <w:pPr>
              <w:pStyle w:val="TableRow"/>
              <w:numPr>
                <w:ilvl w:val="0"/>
                <w:numId w:val="14"/>
              </w:numPr>
              <w:rPr>
                <w:i/>
                <w:sz w:val="22"/>
                <w:szCs w:val="22"/>
              </w:rPr>
            </w:pPr>
            <w:r w:rsidRPr="00AF0929">
              <w:rPr>
                <w:i/>
                <w:sz w:val="22"/>
                <w:szCs w:val="22"/>
              </w:rPr>
              <w:t xml:space="preserve">Year 4 and Year 3 – Support with spelling and reading with the bottom 20% - Assessment of these children suggest they are now on track and are now making at least expected progress. </w:t>
            </w:r>
          </w:p>
          <w:p w14:paraId="622340CD" w14:textId="6D77A963" w:rsidR="006850D7" w:rsidRPr="00AF0929" w:rsidRDefault="006850D7" w:rsidP="00CD041C">
            <w:pPr>
              <w:pStyle w:val="TableRow"/>
              <w:numPr>
                <w:ilvl w:val="0"/>
                <w:numId w:val="14"/>
              </w:numPr>
              <w:rPr>
                <w:i/>
                <w:sz w:val="22"/>
                <w:szCs w:val="22"/>
              </w:rPr>
            </w:pPr>
            <w:r w:rsidRPr="00AF0929">
              <w:rPr>
                <w:i/>
                <w:sz w:val="22"/>
                <w:szCs w:val="22"/>
              </w:rPr>
              <w:t xml:space="preserve">Year 2 and 1 have received targeted support for children. Year 2 </w:t>
            </w:r>
            <w:r w:rsidRPr="00AF0929">
              <w:rPr>
                <w:rFonts w:cs="Arial"/>
                <w:i/>
                <w:color w:val="auto"/>
                <w:sz w:val="22"/>
                <w:szCs w:val="22"/>
              </w:rPr>
              <w:t>76% of the cohort are working at the expected standard.</w:t>
            </w:r>
            <w:r w:rsidRPr="00AF0929">
              <w:rPr>
                <w:i/>
                <w:color w:val="auto"/>
                <w:sz w:val="22"/>
                <w:szCs w:val="22"/>
              </w:rPr>
              <w:t xml:space="preserve"> In year 2</w:t>
            </w:r>
            <w:r w:rsidRPr="00AF0929">
              <w:rPr>
                <w:rFonts w:cs="Arial"/>
                <w:i/>
                <w:color w:val="auto"/>
                <w:sz w:val="22"/>
                <w:szCs w:val="22"/>
              </w:rPr>
              <w:t>, 76% achieved the standard for PST (Prediction 63% based on Year 1 assessment and Year 2 autumn data)</w:t>
            </w:r>
          </w:p>
          <w:p w14:paraId="44F2FBE7" w14:textId="247C7620" w:rsidR="00CD041C" w:rsidRDefault="00CD041C" w:rsidP="00CD041C">
            <w:pPr>
              <w:pStyle w:val="TableRow"/>
              <w:numPr>
                <w:ilvl w:val="0"/>
                <w:numId w:val="14"/>
              </w:numPr>
              <w:rPr>
                <w:sz w:val="20"/>
              </w:rPr>
            </w:pPr>
            <w:r w:rsidRPr="00CD041C">
              <w:rPr>
                <w:sz w:val="20"/>
              </w:rPr>
              <w:t xml:space="preserve">Current phonics picture in Year 1 – Their </w:t>
            </w:r>
            <w:proofErr w:type="gramStart"/>
            <w:r w:rsidRPr="00CD041C">
              <w:rPr>
                <w:sz w:val="20"/>
              </w:rPr>
              <w:t>new year</w:t>
            </w:r>
            <w:proofErr w:type="gramEnd"/>
            <w:r w:rsidRPr="00CD041C">
              <w:rPr>
                <w:sz w:val="20"/>
              </w:rPr>
              <w:t xml:space="preserve"> 2 teachers will be doing the PST with them at the end of term.</w:t>
            </w:r>
          </w:p>
          <w:p w14:paraId="1EA06327" w14:textId="77777777" w:rsidR="00CD041C" w:rsidRPr="00C57109" w:rsidRDefault="00CD041C" w:rsidP="00CD041C">
            <w:pPr>
              <w:pStyle w:val="TableRow"/>
              <w:numPr>
                <w:ilvl w:val="0"/>
                <w:numId w:val="14"/>
              </w:numPr>
              <w:rPr>
                <w:i/>
                <w:sz w:val="20"/>
              </w:rPr>
            </w:pPr>
            <w:r>
              <w:rPr>
                <w:i/>
                <w:sz w:val="20"/>
              </w:rPr>
              <w:t>A recent reading review reported that ‘</w:t>
            </w:r>
            <w:r w:rsidRPr="00C57109">
              <w:rPr>
                <w:rFonts w:cs="Arial"/>
                <w:i/>
                <w:sz w:val="20"/>
                <w:szCs w:val="20"/>
              </w:rPr>
              <w:t xml:space="preserve">Reading is not restricted to phonics lessons and guided reading activities. It </w:t>
            </w:r>
            <w:proofErr w:type="gramStart"/>
            <w:r w:rsidRPr="00C57109">
              <w:rPr>
                <w:rFonts w:cs="Arial"/>
                <w:i/>
                <w:sz w:val="20"/>
                <w:szCs w:val="20"/>
              </w:rPr>
              <w:t>is threaded</w:t>
            </w:r>
            <w:proofErr w:type="gramEnd"/>
            <w:r w:rsidRPr="00C57109">
              <w:rPr>
                <w:rFonts w:cs="Arial"/>
                <w:i/>
                <w:sz w:val="20"/>
                <w:szCs w:val="20"/>
              </w:rPr>
              <w:t xml:space="preserve"> through all aspects of the curriculum. For example, on return from lockdown books </w:t>
            </w:r>
            <w:proofErr w:type="gramStart"/>
            <w:r w:rsidRPr="00C57109">
              <w:rPr>
                <w:rFonts w:cs="Arial"/>
                <w:i/>
                <w:sz w:val="20"/>
                <w:szCs w:val="20"/>
              </w:rPr>
              <w:t>were used</w:t>
            </w:r>
            <w:proofErr w:type="gramEnd"/>
            <w:r w:rsidRPr="00C57109">
              <w:rPr>
                <w:rFonts w:cs="Arial"/>
                <w:i/>
                <w:sz w:val="20"/>
                <w:szCs w:val="20"/>
              </w:rPr>
              <w:t xml:space="preserve"> to help nurture pupils’ mental well-being. There is now </w:t>
            </w:r>
            <w:r w:rsidRPr="00C57109">
              <w:rPr>
                <w:rFonts w:cs="Arial"/>
                <w:i/>
                <w:sz w:val="20"/>
                <w:szCs w:val="20"/>
              </w:rPr>
              <w:lastRenderedPageBreak/>
              <w:t>a renewed focus on reading for pleasure.</w:t>
            </w:r>
            <w:r>
              <w:rPr>
                <w:rFonts w:cs="Arial"/>
                <w:i/>
                <w:sz w:val="20"/>
                <w:szCs w:val="20"/>
              </w:rPr>
              <w:t>’</w:t>
            </w:r>
          </w:p>
          <w:p w14:paraId="55CC6DE2" w14:textId="77777777" w:rsidR="00CD041C" w:rsidRPr="00CD041C" w:rsidRDefault="00CD041C" w:rsidP="00CD041C">
            <w:pPr>
              <w:pStyle w:val="TableRow"/>
              <w:ind w:left="360"/>
              <w:rPr>
                <w:sz w:val="20"/>
              </w:rPr>
            </w:pPr>
          </w:p>
          <w:p w14:paraId="2B7BA531" w14:textId="77777777" w:rsidR="007A2D87" w:rsidRPr="00AF0929" w:rsidRDefault="007A2D87" w:rsidP="00CD041C">
            <w:pPr>
              <w:pStyle w:val="TableRow"/>
              <w:numPr>
                <w:ilvl w:val="0"/>
                <w:numId w:val="14"/>
              </w:numPr>
              <w:rPr>
                <w:rFonts w:cs="Arial"/>
                <w:sz w:val="22"/>
                <w:szCs w:val="22"/>
              </w:rPr>
            </w:pPr>
            <w:r w:rsidRPr="00AF0929">
              <w:rPr>
                <w:rFonts w:cs="Arial"/>
                <w:sz w:val="22"/>
                <w:szCs w:val="22"/>
              </w:rPr>
              <w:t xml:space="preserve">Monitoring and evaluation of all phonics provision across the school completed and plans for September are in place. </w:t>
            </w:r>
          </w:p>
          <w:p w14:paraId="6E930CF2" w14:textId="77777777" w:rsidR="007A2D87" w:rsidRDefault="007A2D87" w:rsidP="00CD041C">
            <w:pPr>
              <w:pStyle w:val="TableRow"/>
              <w:numPr>
                <w:ilvl w:val="0"/>
                <w:numId w:val="14"/>
              </w:numPr>
              <w:rPr>
                <w:rFonts w:cs="Arial"/>
                <w:sz w:val="22"/>
                <w:szCs w:val="22"/>
              </w:rPr>
            </w:pPr>
            <w:r w:rsidRPr="00AF0929">
              <w:rPr>
                <w:rFonts w:cs="Arial"/>
                <w:sz w:val="22"/>
                <w:szCs w:val="22"/>
              </w:rPr>
              <w:t xml:space="preserve">Transition support offered for targeted children and CPD for all new staff. </w:t>
            </w:r>
          </w:p>
          <w:p w14:paraId="0034DC22" w14:textId="0E3A531C" w:rsidR="00CD041C" w:rsidRPr="00AF0929" w:rsidRDefault="00CD041C" w:rsidP="00CD041C">
            <w:pPr>
              <w:pStyle w:val="TableRow"/>
              <w:ind w:left="360"/>
              <w:rPr>
                <w:rFonts w:cs="Arial"/>
                <w:sz w:val="22"/>
                <w:szCs w:val="22"/>
              </w:rPr>
            </w:pPr>
          </w:p>
        </w:tc>
      </w:tr>
      <w:tr w:rsidR="00CF2D6F" w14:paraId="61BD05DC" w14:textId="06EDB3A3" w:rsidTr="002B3B47">
        <w:trPr>
          <w:trHeight w:val="381"/>
        </w:trPr>
        <w:tc>
          <w:tcPr>
            <w:tcW w:w="22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E94874" w14:textId="5EC80F67" w:rsidR="00CF2D6F" w:rsidRPr="00025ACF" w:rsidRDefault="00CF2D6F" w:rsidP="008206D4">
            <w:pPr>
              <w:pStyle w:val="TableRow"/>
              <w:rPr>
                <w:rFonts w:cs="Calibri"/>
                <w:b/>
                <w:sz w:val="22"/>
                <w:szCs w:val="22"/>
              </w:rPr>
            </w:pPr>
            <w:r>
              <w:rPr>
                <w:rFonts w:cs="Calibri"/>
                <w:b/>
                <w:sz w:val="22"/>
                <w:szCs w:val="22"/>
              </w:rPr>
              <w:lastRenderedPageBreak/>
              <w:t>Priority 3</w:t>
            </w:r>
          </w:p>
          <w:p w14:paraId="2BB1225F" w14:textId="0A5B1A1D" w:rsidR="00CF2D6F" w:rsidRPr="00214AFE" w:rsidRDefault="00CF2D6F" w:rsidP="00BE41D9">
            <w:pPr>
              <w:pStyle w:val="TableRow"/>
              <w:rPr>
                <w:rFonts w:cs="Calibri"/>
                <w:sz w:val="22"/>
                <w:szCs w:val="22"/>
              </w:rPr>
            </w:pPr>
            <w:r w:rsidRPr="00214AFE">
              <w:rPr>
                <w:rFonts w:cs="Calibri"/>
                <w:sz w:val="22"/>
                <w:szCs w:val="22"/>
              </w:rPr>
              <w:t>Handwriting</w:t>
            </w:r>
            <w:r>
              <w:rPr>
                <w:rFonts w:cs="Calibri"/>
                <w:sz w:val="22"/>
                <w:szCs w:val="22"/>
              </w:rPr>
              <w:t>, writing stamina and spelling.</w:t>
            </w:r>
          </w:p>
        </w:tc>
        <w:tc>
          <w:tcPr>
            <w:tcW w:w="28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2280333" w14:textId="521831EC" w:rsidR="00CF2D6F" w:rsidRDefault="00CF2D6F" w:rsidP="00C60122">
            <w:pPr>
              <w:pStyle w:val="TableRow"/>
              <w:ind w:left="0"/>
              <w:rPr>
                <w:sz w:val="22"/>
                <w:szCs w:val="22"/>
              </w:rPr>
            </w:pPr>
            <w:r>
              <w:rPr>
                <w:sz w:val="22"/>
                <w:szCs w:val="22"/>
              </w:rPr>
              <w:t>Year R – 2 fine motor skills interventions.</w:t>
            </w:r>
          </w:p>
          <w:p w14:paraId="6F4CF813" w14:textId="77777777" w:rsidR="00CF2D6F" w:rsidRDefault="00CF2D6F" w:rsidP="00C60122">
            <w:pPr>
              <w:pStyle w:val="TableRow"/>
              <w:ind w:left="0"/>
              <w:rPr>
                <w:sz w:val="22"/>
                <w:szCs w:val="22"/>
              </w:rPr>
            </w:pPr>
          </w:p>
          <w:p w14:paraId="0029C107" w14:textId="564924BC" w:rsidR="00CF2D6F" w:rsidRDefault="00CF2D6F" w:rsidP="00C60122">
            <w:pPr>
              <w:pStyle w:val="TableRow"/>
              <w:ind w:left="0"/>
              <w:rPr>
                <w:sz w:val="22"/>
                <w:szCs w:val="22"/>
              </w:rPr>
            </w:pPr>
            <w:r>
              <w:rPr>
                <w:sz w:val="22"/>
                <w:szCs w:val="22"/>
              </w:rPr>
              <w:t>Year 3 – 6 1-1 or group tutoring/bounce back intervention/booster groups.</w:t>
            </w:r>
          </w:p>
          <w:p w14:paraId="4F132872" w14:textId="77777777" w:rsidR="00CF2D6F" w:rsidRDefault="00CF2D6F" w:rsidP="00C60122">
            <w:pPr>
              <w:pStyle w:val="TableRow"/>
              <w:ind w:left="0"/>
              <w:rPr>
                <w:sz w:val="22"/>
                <w:szCs w:val="22"/>
              </w:rPr>
            </w:pPr>
          </w:p>
          <w:p w14:paraId="45806689" w14:textId="47C16FBB" w:rsidR="00CF2D6F" w:rsidRPr="00214AFE" w:rsidRDefault="00CF2D6F" w:rsidP="00C60122">
            <w:pPr>
              <w:pStyle w:val="TableRow"/>
              <w:ind w:left="0"/>
              <w:rPr>
                <w:sz w:val="22"/>
                <w:szCs w:val="22"/>
              </w:rPr>
            </w:pPr>
            <w:r>
              <w:rPr>
                <w:sz w:val="22"/>
                <w:szCs w:val="22"/>
              </w:rPr>
              <w:t xml:space="preserve">Year 6 Pompey Pirates – all children to achieve ARE in writing by the end of the year.  </w:t>
            </w:r>
          </w:p>
        </w:tc>
        <w:tc>
          <w:tcPr>
            <w:tcW w:w="18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A9E39F" w14:textId="77777777" w:rsidR="00CF2D6F" w:rsidRDefault="00CF2D6F" w:rsidP="00025ACF">
            <w:pPr>
              <w:pStyle w:val="TableRow"/>
              <w:ind w:left="0"/>
              <w:rPr>
                <w:sz w:val="22"/>
                <w:szCs w:val="22"/>
              </w:rPr>
            </w:pPr>
            <w:r>
              <w:rPr>
                <w:sz w:val="22"/>
                <w:szCs w:val="22"/>
              </w:rPr>
              <w:t>Ongoing all year</w:t>
            </w:r>
          </w:p>
          <w:p w14:paraId="69EA6F4E" w14:textId="4D740CF4" w:rsidR="00CF2D6F" w:rsidRPr="00214AFE" w:rsidRDefault="00CF2D6F" w:rsidP="00025ACF">
            <w:pPr>
              <w:pStyle w:val="TableRow"/>
              <w:ind w:left="0"/>
              <w:rPr>
                <w:sz w:val="22"/>
                <w:szCs w:val="22"/>
              </w:rPr>
            </w:pPr>
          </w:p>
        </w:tc>
        <w:tc>
          <w:tcPr>
            <w:tcW w:w="2693" w:type="dxa"/>
            <w:tcBorders>
              <w:top w:val="single" w:sz="4" w:space="0" w:color="BFBFBF"/>
              <w:left w:val="single" w:sz="4" w:space="0" w:color="BFBFBF"/>
              <w:bottom w:val="single" w:sz="4" w:space="0" w:color="BFBFBF"/>
              <w:right w:val="single" w:sz="4" w:space="0" w:color="BFBFBF"/>
            </w:tcBorders>
          </w:tcPr>
          <w:p w14:paraId="5D74CDCF" w14:textId="77777777" w:rsidR="00CF2D6F" w:rsidRDefault="008779A0" w:rsidP="00025ACF">
            <w:pPr>
              <w:pStyle w:val="TableRow"/>
              <w:ind w:left="0"/>
              <w:rPr>
                <w:sz w:val="22"/>
                <w:szCs w:val="22"/>
              </w:rPr>
            </w:pPr>
            <w:r>
              <w:rPr>
                <w:sz w:val="22"/>
                <w:szCs w:val="22"/>
              </w:rPr>
              <w:t>Pompey Pirates children have written and published a book.</w:t>
            </w:r>
          </w:p>
          <w:p w14:paraId="107EB742" w14:textId="77777777" w:rsidR="008779A0" w:rsidRDefault="008779A0" w:rsidP="00025ACF">
            <w:pPr>
              <w:pStyle w:val="TableRow"/>
              <w:ind w:left="0"/>
              <w:rPr>
                <w:sz w:val="22"/>
                <w:szCs w:val="22"/>
              </w:rPr>
            </w:pPr>
          </w:p>
          <w:p w14:paraId="77EF8890" w14:textId="39155C67" w:rsidR="008779A0" w:rsidRDefault="006A3C4F" w:rsidP="00025ACF">
            <w:pPr>
              <w:pStyle w:val="TableRow"/>
              <w:ind w:left="0"/>
              <w:rPr>
                <w:sz w:val="22"/>
                <w:szCs w:val="22"/>
              </w:rPr>
            </w:pPr>
            <w:hyperlink r:id="rId16" w:history="1">
              <w:r w:rsidR="008779A0" w:rsidRPr="008779A0">
                <w:rPr>
                  <w:rStyle w:val="Hyperlink"/>
                  <w:sz w:val="22"/>
                  <w:szCs w:val="22"/>
                </w:rPr>
                <w:t>Pompey Pirate report</w:t>
              </w:r>
            </w:hyperlink>
          </w:p>
        </w:tc>
        <w:tc>
          <w:tcPr>
            <w:tcW w:w="2410" w:type="dxa"/>
            <w:tcBorders>
              <w:top w:val="single" w:sz="4" w:space="0" w:color="BFBFBF"/>
              <w:left w:val="single" w:sz="4" w:space="0" w:color="BFBFBF"/>
              <w:bottom w:val="single" w:sz="4" w:space="0" w:color="BFBFBF"/>
              <w:right w:val="single" w:sz="4" w:space="0" w:color="BFBFBF"/>
            </w:tcBorders>
          </w:tcPr>
          <w:p w14:paraId="5B115FCD" w14:textId="77777777" w:rsidR="008779A0" w:rsidRDefault="008779A0" w:rsidP="00025ACF">
            <w:pPr>
              <w:pStyle w:val="TableRow"/>
              <w:ind w:left="0"/>
              <w:rPr>
                <w:sz w:val="22"/>
                <w:szCs w:val="22"/>
              </w:rPr>
            </w:pPr>
            <w:r>
              <w:rPr>
                <w:sz w:val="22"/>
                <w:szCs w:val="22"/>
              </w:rPr>
              <w:t>Children have continued Pompey Pirates virtually.</w:t>
            </w:r>
          </w:p>
          <w:p w14:paraId="288A36C7" w14:textId="77777777" w:rsidR="008779A0" w:rsidRDefault="008779A0" w:rsidP="00025ACF">
            <w:pPr>
              <w:pStyle w:val="TableRow"/>
              <w:ind w:left="0"/>
              <w:rPr>
                <w:sz w:val="22"/>
                <w:szCs w:val="22"/>
              </w:rPr>
            </w:pPr>
          </w:p>
          <w:p w14:paraId="6102626F" w14:textId="646F7404" w:rsidR="00CF2D6F" w:rsidRDefault="008779A0" w:rsidP="00025ACF">
            <w:pPr>
              <w:pStyle w:val="TableRow"/>
              <w:ind w:left="0"/>
              <w:rPr>
                <w:sz w:val="22"/>
                <w:szCs w:val="22"/>
              </w:rPr>
            </w:pPr>
            <w:r>
              <w:rPr>
                <w:sz w:val="22"/>
                <w:szCs w:val="22"/>
              </w:rPr>
              <w:t xml:space="preserve">Children have written speeches and </w:t>
            </w:r>
            <w:proofErr w:type="gramStart"/>
            <w:r>
              <w:rPr>
                <w:sz w:val="22"/>
                <w:szCs w:val="22"/>
              </w:rPr>
              <w:t>broad cast</w:t>
            </w:r>
            <w:proofErr w:type="gramEnd"/>
            <w:r>
              <w:rPr>
                <w:sz w:val="22"/>
                <w:szCs w:val="22"/>
              </w:rPr>
              <w:t xml:space="preserve"> them on the radio.</w:t>
            </w:r>
            <w:r w:rsidR="001D05E6">
              <w:rPr>
                <w:sz w:val="22"/>
                <w:szCs w:val="22"/>
              </w:rPr>
              <w:t xml:space="preserve"> </w:t>
            </w:r>
          </w:p>
        </w:tc>
        <w:tc>
          <w:tcPr>
            <w:tcW w:w="3344" w:type="dxa"/>
            <w:tcBorders>
              <w:top w:val="single" w:sz="4" w:space="0" w:color="BFBFBF"/>
              <w:left w:val="single" w:sz="4" w:space="0" w:color="BFBFBF"/>
              <w:bottom w:val="single" w:sz="4" w:space="0" w:color="BFBFBF"/>
              <w:right w:val="single" w:sz="4" w:space="0" w:color="BFBFBF"/>
            </w:tcBorders>
          </w:tcPr>
          <w:p w14:paraId="3126A95E" w14:textId="77777777" w:rsidR="00CF2D6F" w:rsidRDefault="0000367C" w:rsidP="0000367C">
            <w:pPr>
              <w:pStyle w:val="TableRow"/>
              <w:numPr>
                <w:ilvl w:val="0"/>
                <w:numId w:val="25"/>
              </w:numPr>
              <w:rPr>
                <w:sz w:val="22"/>
                <w:szCs w:val="22"/>
              </w:rPr>
            </w:pPr>
            <w:r>
              <w:rPr>
                <w:sz w:val="22"/>
                <w:szCs w:val="22"/>
              </w:rPr>
              <w:t xml:space="preserve">FMS interventions put into and </w:t>
            </w:r>
          </w:p>
          <w:p w14:paraId="2E084C42" w14:textId="6EA2961C" w:rsidR="0000367C" w:rsidRDefault="0000367C" w:rsidP="0000367C">
            <w:pPr>
              <w:pStyle w:val="TableRow"/>
              <w:numPr>
                <w:ilvl w:val="0"/>
                <w:numId w:val="25"/>
              </w:numPr>
              <w:rPr>
                <w:sz w:val="22"/>
                <w:szCs w:val="22"/>
              </w:rPr>
            </w:pPr>
            <w:r>
              <w:rPr>
                <w:sz w:val="22"/>
                <w:szCs w:val="22"/>
              </w:rPr>
              <w:t xml:space="preserve">Year 3 – 6 bounce back intervention and Pompey Pirates continued through the summer term, has been successful in changing children’s attitudes towards writing, and has continued to build their stamina. </w:t>
            </w:r>
          </w:p>
          <w:p w14:paraId="681118EE" w14:textId="6EC42F50" w:rsidR="0000367C" w:rsidRDefault="0000367C" w:rsidP="0000367C">
            <w:pPr>
              <w:pStyle w:val="TableRow"/>
              <w:ind w:left="360"/>
              <w:rPr>
                <w:sz w:val="22"/>
                <w:szCs w:val="22"/>
              </w:rPr>
            </w:pPr>
            <w:r>
              <w:rPr>
                <w:sz w:val="22"/>
                <w:szCs w:val="22"/>
              </w:rPr>
              <w:t>(See email from PP and outcomes e.g. book</w:t>
            </w:r>
            <w:r w:rsidR="00D74A99">
              <w:rPr>
                <w:sz w:val="22"/>
                <w:szCs w:val="22"/>
              </w:rPr>
              <w:t xml:space="preserve"> and</w:t>
            </w:r>
            <w:r>
              <w:rPr>
                <w:sz w:val="22"/>
                <w:szCs w:val="22"/>
              </w:rPr>
              <w:t xml:space="preserve"> film made)</w:t>
            </w:r>
          </w:p>
        </w:tc>
      </w:tr>
      <w:tr w:rsidR="00CF2D6F" w14:paraId="6BCACCCC" w14:textId="72F64AD3" w:rsidTr="002B3B47">
        <w:trPr>
          <w:trHeight w:val="381"/>
        </w:trPr>
        <w:tc>
          <w:tcPr>
            <w:tcW w:w="22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52F302" w14:textId="32C66947" w:rsidR="00CF2D6F" w:rsidRPr="00CC591D" w:rsidRDefault="00CF2D6F" w:rsidP="00025ACF">
            <w:pPr>
              <w:pStyle w:val="TableRow"/>
              <w:rPr>
                <w:rFonts w:cs="Calibri"/>
                <w:b/>
                <w:color w:val="auto"/>
                <w:sz w:val="22"/>
                <w:szCs w:val="22"/>
              </w:rPr>
            </w:pPr>
            <w:r w:rsidRPr="00CC591D">
              <w:rPr>
                <w:rFonts w:cs="Calibri"/>
                <w:b/>
                <w:color w:val="auto"/>
                <w:sz w:val="22"/>
                <w:szCs w:val="22"/>
              </w:rPr>
              <w:t>Priority 4</w:t>
            </w:r>
          </w:p>
          <w:p w14:paraId="2B96B2CC" w14:textId="7A92C9BD" w:rsidR="00CF2D6F" w:rsidRPr="00CC591D" w:rsidRDefault="00CF2D6F" w:rsidP="00025ACF">
            <w:pPr>
              <w:pStyle w:val="TableRow"/>
              <w:rPr>
                <w:color w:val="auto"/>
                <w:sz w:val="22"/>
                <w:szCs w:val="22"/>
              </w:rPr>
            </w:pPr>
            <w:r w:rsidRPr="00CC591D">
              <w:rPr>
                <w:color w:val="auto"/>
                <w:sz w:val="22"/>
                <w:szCs w:val="22"/>
              </w:rPr>
              <w:t>Maths</w:t>
            </w:r>
          </w:p>
        </w:tc>
        <w:tc>
          <w:tcPr>
            <w:tcW w:w="28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FA0FA7" w14:textId="71901220" w:rsidR="00CF2D6F" w:rsidRPr="00CC591D" w:rsidRDefault="00CF2D6F" w:rsidP="008206D4">
            <w:pPr>
              <w:pStyle w:val="TableRow"/>
              <w:rPr>
                <w:color w:val="auto"/>
                <w:sz w:val="22"/>
                <w:szCs w:val="22"/>
              </w:rPr>
            </w:pPr>
            <w:r w:rsidRPr="00CC591D">
              <w:rPr>
                <w:color w:val="auto"/>
                <w:sz w:val="22"/>
                <w:szCs w:val="22"/>
              </w:rPr>
              <w:t>Maths team to work with the Maths HUB.</w:t>
            </w:r>
          </w:p>
          <w:p w14:paraId="58CD656A" w14:textId="77777777" w:rsidR="00CF2D6F" w:rsidRPr="00CC591D" w:rsidRDefault="00CF2D6F" w:rsidP="008206D4">
            <w:pPr>
              <w:pStyle w:val="TableRow"/>
              <w:rPr>
                <w:color w:val="auto"/>
                <w:sz w:val="22"/>
                <w:szCs w:val="22"/>
              </w:rPr>
            </w:pPr>
          </w:p>
          <w:p w14:paraId="2E59B0F3" w14:textId="77777777" w:rsidR="00CF2D6F" w:rsidRDefault="00CF2D6F" w:rsidP="008206D4">
            <w:pPr>
              <w:pStyle w:val="TableRow"/>
              <w:rPr>
                <w:color w:val="auto"/>
                <w:sz w:val="22"/>
                <w:szCs w:val="22"/>
              </w:rPr>
            </w:pPr>
            <w:r w:rsidRPr="00CC591D">
              <w:rPr>
                <w:color w:val="auto"/>
                <w:sz w:val="22"/>
                <w:szCs w:val="22"/>
              </w:rPr>
              <w:t>Immediate and rapid intervention (Bounce Back Intervention) carried out by teacher or HLTA.</w:t>
            </w:r>
          </w:p>
          <w:p w14:paraId="4F5608D6" w14:textId="335BA096" w:rsidR="00CF2D6F" w:rsidRPr="00CC591D" w:rsidRDefault="00CF2D6F" w:rsidP="001D05E6">
            <w:pPr>
              <w:pStyle w:val="TableRow"/>
              <w:ind w:left="0"/>
              <w:rPr>
                <w:color w:val="auto"/>
                <w:sz w:val="22"/>
                <w:szCs w:val="22"/>
              </w:rPr>
            </w:pPr>
          </w:p>
        </w:tc>
        <w:tc>
          <w:tcPr>
            <w:tcW w:w="18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9DD395" w14:textId="01904F4C" w:rsidR="00CF2D6F" w:rsidRPr="00CC591D" w:rsidRDefault="00CF2D6F" w:rsidP="008206D4">
            <w:pPr>
              <w:pStyle w:val="TableRow"/>
              <w:rPr>
                <w:color w:val="auto"/>
                <w:sz w:val="22"/>
                <w:szCs w:val="22"/>
              </w:rPr>
            </w:pPr>
            <w:r w:rsidRPr="00CC591D">
              <w:rPr>
                <w:color w:val="auto"/>
                <w:sz w:val="22"/>
                <w:szCs w:val="22"/>
              </w:rPr>
              <w:lastRenderedPageBreak/>
              <w:t>Ongoing all year</w:t>
            </w:r>
          </w:p>
        </w:tc>
        <w:tc>
          <w:tcPr>
            <w:tcW w:w="2693" w:type="dxa"/>
            <w:tcBorders>
              <w:top w:val="single" w:sz="4" w:space="0" w:color="BFBFBF"/>
              <w:left w:val="single" w:sz="4" w:space="0" w:color="BFBFBF"/>
              <w:bottom w:val="single" w:sz="4" w:space="0" w:color="BFBFBF"/>
              <w:right w:val="single" w:sz="4" w:space="0" w:color="BFBFBF"/>
            </w:tcBorders>
          </w:tcPr>
          <w:p w14:paraId="68DC9B88" w14:textId="77777777" w:rsidR="00CF2D6F" w:rsidRDefault="001D05E6" w:rsidP="008206D4">
            <w:pPr>
              <w:pStyle w:val="TableRow"/>
              <w:rPr>
                <w:color w:val="auto"/>
                <w:sz w:val="22"/>
                <w:szCs w:val="22"/>
              </w:rPr>
            </w:pPr>
            <w:r>
              <w:rPr>
                <w:color w:val="auto"/>
                <w:sz w:val="22"/>
                <w:szCs w:val="22"/>
              </w:rPr>
              <w:t>Training attended.</w:t>
            </w:r>
          </w:p>
          <w:p w14:paraId="3AB55801" w14:textId="598AB204" w:rsidR="001D05E6" w:rsidRDefault="001D05E6" w:rsidP="008206D4">
            <w:pPr>
              <w:pStyle w:val="TableRow"/>
              <w:rPr>
                <w:color w:val="auto"/>
                <w:sz w:val="22"/>
                <w:szCs w:val="22"/>
              </w:rPr>
            </w:pPr>
            <w:r>
              <w:rPr>
                <w:color w:val="auto"/>
                <w:sz w:val="22"/>
                <w:szCs w:val="22"/>
              </w:rPr>
              <w:t>3-year strategic plan in place.</w:t>
            </w:r>
          </w:p>
          <w:p w14:paraId="14755671" w14:textId="6CFE10BF" w:rsidR="001D05E6" w:rsidRPr="00CC591D" w:rsidRDefault="001D05E6" w:rsidP="008206D4">
            <w:pPr>
              <w:pStyle w:val="TableRow"/>
              <w:rPr>
                <w:color w:val="auto"/>
                <w:sz w:val="22"/>
                <w:szCs w:val="22"/>
              </w:rPr>
            </w:pPr>
          </w:p>
        </w:tc>
        <w:tc>
          <w:tcPr>
            <w:tcW w:w="2410" w:type="dxa"/>
            <w:tcBorders>
              <w:top w:val="single" w:sz="4" w:space="0" w:color="BFBFBF"/>
              <w:left w:val="single" w:sz="4" w:space="0" w:color="BFBFBF"/>
              <w:bottom w:val="single" w:sz="4" w:space="0" w:color="BFBFBF"/>
              <w:right w:val="single" w:sz="4" w:space="0" w:color="BFBFBF"/>
            </w:tcBorders>
          </w:tcPr>
          <w:p w14:paraId="72F18EA9" w14:textId="77777777" w:rsidR="00CF2D6F" w:rsidRDefault="001D05E6" w:rsidP="008206D4">
            <w:pPr>
              <w:pStyle w:val="TableRow"/>
              <w:rPr>
                <w:color w:val="auto"/>
                <w:sz w:val="22"/>
                <w:szCs w:val="22"/>
              </w:rPr>
            </w:pPr>
            <w:r>
              <w:rPr>
                <w:color w:val="auto"/>
                <w:sz w:val="22"/>
                <w:szCs w:val="22"/>
              </w:rPr>
              <w:t>PDM planned for all staff.</w:t>
            </w:r>
          </w:p>
          <w:p w14:paraId="4D1B9D2D" w14:textId="77777777" w:rsidR="001D05E6" w:rsidRDefault="001D05E6" w:rsidP="008206D4">
            <w:pPr>
              <w:pStyle w:val="TableRow"/>
              <w:rPr>
                <w:color w:val="auto"/>
                <w:sz w:val="22"/>
                <w:szCs w:val="22"/>
              </w:rPr>
            </w:pPr>
            <w:r>
              <w:rPr>
                <w:color w:val="auto"/>
                <w:sz w:val="22"/>
                <w:szCs w:val="22"/>
              </w:rPr>
              <w:t>CPD planned for identified year groups.</w:t>
            </w:r>
          </w:p>
          <w:p w14:paraId="641EB040" w14:textId="3564351C" w:rsidR="009E0420" w:rsidRPr="00CC591D" w:rsidRDefault="009E0420" w:rsidP="008206D4">
            <w:pPr>
              <w:pStyle w:val="TableRow"/>
              <w:rPr>
                <w:color w:val="auto"/>
                <w:sz w:val="22"/>
                <w:szCs w:val="22"/>
              </w:rPr>
            </w:pPr>
            <w:r>
              <w:rPr>
                <w:color w:val="auto"/>
                <w:sz w:val="22"/>
                <w:szCs w:val="22"/>
              </w:rPr>
              <w:t xml:space="preserve">Access to NTP and awaiting quote for 45 pupils (15 in Y4, Y5 &amp; Y6) to start Third </w:t>
            </w:r>
            <w:r>
              <w:rPr>
                <w:color w:val="auto"/>
                <w:sz w:val="22"/>
                <w:szCs w:val="22"/>
              </w:rPr>
              <w:lastRenderedPageBreak/>
              <w:t xml:space="preserve">Space Learning (TSL), a maths tuition virtual bespoke package. </w:t>
            </w:r>
          </w:p>
        </w:tc>
        <w:tc>
          <w:tcPr>
            <w:tcW w:w="3344" w:type="dxa"/>
            <w:tcBorders>
              <w:top w:val="single" w:sz="4" w:space="0" w:color="BFBFBF"/>
              <w:left w:val="single" w:sz="4" w:space="0" w:color="BFBFBF"/>
              <w:bottom w:val="single" w:sz="4" w:space="0" w:color="BFBFBF"/>
              <w:right w:val="single" w:sz="4" w:space="0" w:color="BFBFBF"/>
            </w:tcBorders>
          </w:tcPr>
          <w:p w14:paraId="746459BA" w14:textId="4EB08599" w:rsidR="00CD041C" w:rsidRDefault="00CD041C" w:rsidP="0000367C">
            <w:pPr>
              <w:pStyle w:val="TableRow"/>
              <w:numPr>
                <w:ilvl w:val="0"/>
                <w:numId w:val="21"/>
              </w:numPr>
              <w:ind w:left="360"/>
              <w:rPr>
                <w:sz w:val="22"/>
                <w:szCs w:val="22"/>
              </w:rPr>
            </w:pPr>
            <w:r w:rsidRPr="00CD041C">
              <w:rPr>
                <w:sz w:val="22"/>
                <w:szCs w:val="22"/>
              </w:rPr>
              <w:lastRenderedPageBreak/>
              <w:t>Establish</w:t>
            </w:r>
            <w:r w:rsidR="008C2273">
              <w:rPr>
                <w:sz w:val="22"/>
                <w:szCs w:val="22"/>
              </w:rPr>
              <w:t>ed</w:t>
            </w:r>
            <w:r w:rsidRPr="00CD041C">
              <w:rPr>
                <w:sz w:val="22"/>
                <w:szCs w:val="22"/>
              </w:rPr>
              <w:t xml:space="preserve"> small group maths interventions for disadvantaged pu</w:t>
            </w:r>
            <w:r w:rsidR="008C2273">
              <w:rPr>
                <w:sz w:val="22"/>
                <w:szCs w:val="22"/>
              </w:rPr>
              <w:t xml:space="preserve">pils falling behind. Assessment against the </w:t>
            </w:r>
            <w:r>
              <w:rPr>
                <w:sz w:val="22"/>
                <w:szCs w:val="22"/>
              </w:rPr>
              <w:t xml:space="preserve">ready to progress statements have </w:t>
            </w:r>
            <w:r w:rsidR="008C2273">
              <w:rPr>
                <w:sz w:val="22"/>
                <w:szCs w:val="22"/>
              </w:rPr>
              <w:t xml:space="preserve">shown that children have made at least expected progress. </w:t>
            </w:r>
          </w:p>
          <w:p w14:paraId="78E0C566" w14:textId="42181A29" w:rsidR="00CD041C" w:rsidRPr="00CD041C" w:rsidRDefault="00CD041C" w:rsidP="0000367C">
            <w:pPr>
              <w:pStyle w:val="TableRow"/>
              <w:numPr>
                <w:ilvl w:val="0"/>
                <w:numId w:val="21"/>
              </w:numPr>
              <w:ind w:left="360"/>
              <w:rPr>
                <w:sz w:val="22"/>
                <w:szCs w:val="22"/>
              </w:rPr>
            </w:pPr>
            <w:r>
              <w:rPr>
                <w:sz w:val="22"/>
                <w:szCs w:val="22"/>
              </w:rPr>
              <w:lastRenderedPageBreak/>
              <w:t xml:space="preserve">Bespoke Year R maths hub mastery CPD and support has been successful. </w:t>
            </w:r>
            <w:proofErr w:type="gramStart"/>
            <w:r w:rsidR="008C2273">
              <w:rPr>
                <w:sz w:val="22"/>
                <w:szCs w:val="22"/>
              </w:rPr>
              <w:t>70%</w:t>
            </w:r>
            <w:proofErr w:type="gramEnd"/>
            <w:r w:rsidR="008C2273">
              <w:rPr>
                <w:sz w:val="22"/>
                <w:szCs w:val="22"/>
              </w:rPr>
              <w:t xml:space="preserve"> of children working at ARE. </w:t>
            </w:r>
            <w:r>
              <w:rPr>
                <w:sz w:val="22"/>
                <w:szCs w:val="22"/>
              </w:rPr>
              <w:t xml:space="preserve"> </w:t>
            </w:r>
          </w:p>
          <w:p w14:paraId="6313E06B" w14:textId="77777777" w:rsidR="00CD041C" w:rsidRPr="00CD041C" w:rsidRDefault="00CD041C" w:rsidP="0000367C">
            <w:pPr>
              <w:pStyle w:val="TableRow"/>
              <w:ind w:left="360"/>
              <w:rPr>
                <w:color w:val="auto"/>
                <w:sz w:val="22"/>
                <w:szCs w:val="22"/>
              </w:rPr>
            </w:pPr>
          </w:p>
          <w:p w14:paraId="50275B8E" w14:textId="111A36E5" w:rsidR="00CF2D6F" w:rsidRDefault="008A0E9D" w:rsidP="0000367C">
            <w:pPr>
              <w:pStyle w:val="TableRow"/>
              <w:numPr>
                <w:ilvl w:val="0"/>
                <w:numId w:val="21"/>
              </w:numPr>
              <w:ind w:left="360"/>
              <w:rPr>
                <w:color w:val="auto"/>
                <w:sz w:val="22"/>
                <w:szCs w:val="22"/>
              </w:rPr>
            </w:pPr>
            <w:r>
              <w:rPr>
                <w:color w:val="auto"/>
                <w:sz w:val="22"/>
                <w:szCs w:val="22"/>
              </w:rPr>
              <w:t xml:space="preserve">INSET day delivered by Maths Solent hub alongside maths leads– </w:t>
            </w:r>
            <w:r w:rsidR="008C2273">
              <w:rPr>
                <w:color w:val="auto"/>
                <w:sz w:val="22"/>
                <w:szCs w:val="22"/>
              </w:rPr>
              <w:t xml:space="preserve">staff looked at RTP statements. They evaluated current progress and objective taught. Based on the outcomes staff completed </w:t>
            </w:r>
            <w:proofErr w:type="gramStart"/>
            <w:r w:rsidR="008C2273">
              <w:rPr>
                <w:color w:val="auto"/>
                <w:sz w:val="22"/>
                <w:szCs w:val="22"/>
              </w:rPr>
              <w:t>long term</w:t>
            </w:r>
            <w:proofErr w:type="gramEnd"/>
            <w:r w:rsidR="008C2273">
              <w:rPr>
                <w:color w:val="auto"/>
                <w:sz w:val="22"/>
                <w:szCs w:val="22"/>
              </w:rPr>
              <w:t xml:space="preserve"> </w:t>
            </w:r>
            <w:r>
              <w:rPr>
                <w:color w:val="auto"/>
                <w:sz w:val="22"/>
                <w:szCs w:val="22"/>
              </w:rPr>
              <w:t xml:space="preserve">overview </w:t>
            </w:r>
            <w:r w:rsidR="008C2273">
              <w:rPr>
                <w:color w:val="auto"/>
                <w:sz w:val="22"/>
                <w:szCs w:val="22"/>
              </w:rPr>
              <w:t xml:space="preserve">for September 2021.2022. </w:t>
            </w:r>
            <w:r>
              <w:rPr>
                <w:color w:val="auto"/>
                <w:sz w:val="22"/>
                <w:szCs w:val="22"/>
              </w:rPr>
              <w:t xml:space="preserve"> </w:t>
            </w:r>
          </w:p>
          <w:p w14:paraId="4A89AAAF" w14:textId="1E65D052" w:rsidR="008A0E9D" w:rsidRDefault="008A0E9D" w:rsidP="0000367C">
            <w:pPr>
              <w:pStyle w:val="TableRow"/>
              <w:ind w:left="0"/>
              <w:rPr>
                <w:color w:val="auto"/>
                <w:sz w:val="22"/>
                <w:szCs w:val="22"/>
              </w:rPr>
            </w:pPr>
          </w:p>
          <w:p w14:paraId="42F59DF9" w14:textId="63DBDE12" w:rsidR="008A0E9D" w:rsidRDefault="008A0E9D" w:rsidP="0000367C">
            <w:pPr>
              <w:pStyle w:val="TableRow"/>
              <w:numPr>
                <w:ilvl w:val="0"/>
                <w:numId w:val="21"/>
              </w:numPr>
              <w:ind w:left="360"/>
              <w:rPr>
                <w:color w:val="auto"/>
                <w:sz w:val="22"/>
                <w:szCs w:val="22"/>
              </w:rPr>
            </w:pPr>
            <w:r>
              <w:rPr>
                <w:color w:val="auto"/>
                <w:sz w:val="22"/>
                <w:szCs w:val="22"/>
              </w:rPr>
              <w:t xml:space="preserve">Maths Solent hub – worked with Year 1 and 2 staff to provide bespoke mastery training. (LT and MT for autumn term completed) </w:t>
            </w:r>
          </w:p>
          <w:p w14:paraId="6DA1728A" w14:textId="10F03D04" w:rsidR="008A0E9D" w:rsidRPr="00CC591D" w:rsidRDefault="008A0E9D" w:rsidP="008A0E9D">
            <w:pPr>
              <w:pStyle w:val="TableRow"/>
              <w:rPr>
                <w:color w:val="auto"/>
                <w:sz w:val="22"/>
                <w:szCs w:val="22"/>
              </w:rPr>
            </w:pPr>
          </w:p>
        </w:tc>
      </w:tr>
    </w:tbl>
    <w:p w14:paraId="565EB5B8" w14:textId="77777777" w:rsidR="0037117A" w:rsidRDefault="0037117A" w:rsidP="007A7DF0"/>
    <w:p w14:paraId="0A6E3ABA" w14:textId="77777777" w:rsidR="0037117A" w:rsidRDefault="0037117A" w:rsidP="007A7DF0"/>
    <w:p w14:paraId="41CFA4BF" w14:textId="2DF856DE" w:rsidR="0037117A" w:rsidRPr="0037117A" w:rsidRDefault="005B3F62" w:rsidP="007A7DF0">
      <w:pPr>
        <w:rPr>
          <w:rFonts w:ascii="Arial" w:hAnsi="Arial" w:cs="Arial"/>
          <w:b/>
          <w:color w:val="A14F8C"/>
        </w:rPr>
      </w:pPr>
      <w:r>
        <w:rPr>
          <w:rFonts w:ascii="Arial" w:hAnsi="Arial" w:cs="Arial"/>
          <w:b/>
          <w:color w:val="A14F8C"/>
        </w:rPr>
        <w:t>CATCH-UP PLAN</w:t>
      </w:r>
    </w:p>
    <w:p w14:paraId="55F00F8C" w14:textId="77777777" w:rsidR="0037117A" w:rsidRDefault="0037117A" w:rsidP="007A7DF0"/>
    <w:p w14:paraId="759157BB" w14:textId="77777777" w:rsidR="0037117A" w:rsidRDefault="0037117A" w:rsidP="007A7DF0"/>
    <w:tbl>
      <w:tblPr>
        <w:tblW w:w="11620" w:type="dxa"/>
        <w:tblCellMar>
          <w:left w:w="10" w:type="dxa"/>
          <w:right w:w="10" w:type="dxa"/>
        </w:tblCellMar>
        <w:tblLook w:val="04A0" w:firstRow="1" w:lastRow="0" w:firstColumn="1" w:lastColumn="0" w:noHBand="0" w:noVBand="1"/>
      </w:tblPr>
      <w:tblGrid>
        <w:gridCol w:w="1413"/>
        <w:gridCol w:w="5953"/>
        <w:gridCol w:w="2127"/>
        <w:gridCol w:w="2127"/>
      </w:tblGrid>
      <w:tr w:rsidR="00AB199E" w14:paraId="605B857D" w14:textId="4D5EA132" w:rsidTr="00AB199E">
        <w:trPr>
          <w:trHeight w:val="381"/>
        </w:trPr>
        <w:tc>
          <w:tcPr>
            <w:tcW w:w="141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3DF9406" w14:textId="15C1D827" w:rsidR="00AB199E" w:rsidRDefault="00AB199E" w:rsidP="008206D4">
            <w:pPr>
              <w:pStyle w:val="TableRow"/>
            </w:pPr>
            <w:r>
              <w:rPr>
                <w:b/>
                <w:sz w:val="22"/>
                <w:szCs w:val="22"/>
              </w:rPr>
              <w:t>Priority</w:t>
            </w:r>
          </w:p>
        </w:tc>
        <w:tc>
          <w:tcPr>
            <w:tcW w:w="5953" w:type="dxa"/>
            <w:tcBorders>
              <w:top w:val="single" w:sz="4" w:space="0" w:color="BFBFBF"/>
              <w:left w:val="single" w:sz="4" w:space="0" w:color="BFBFBF"/>
              <w:bottom w:val="single" w:sz="4" w:space="0" w:color="BFBFBF"/>
              <w:right w:val="single" w:sz="4" w:space="0" w:color="BFBFBF"/>
            </w:tcBorders>
          </w:tcPr>
          <w:p w14:paraId="1CD5B0B5" w14:textId="11D3DF75" w:rsidR="00AB199E" w:rsidRDefault="00AB199E" w:rsidP="008206D4">
            <w:pPr>
              <w:pStyle w:val="TableRow"/>
              <w:rPr>
                <w:b/>
                <w:sz w:val="22"/>
                <w:szCs w:val="22"/>
              </w:rPr>
            </w:pPr>
            <w:r>
              <w:rPr>
                <w:b/>
                <w:sz w:val="22"/>
                <w:szCs w:val="22"/>
              </w:rPr>
              <w:t>Activity</w:t>
            </w:r>
          </w:p>
        </w:tc>
        <w:tc>
          <w:tcPr>
            <w:tcW w:w="21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3E8406" w14:textId="636B1C46" w:rsidR="00AB199E" w:rsidRDefault="00AB199E" w:rsidP="008206D4">
            <w:pPr>
              <w:pStyle w:val="TableRow"/>
            </w:pPr>
            <w:r>
              <w:t>Projected Spend</w:t>
            </w:r>
          </w:p>
        </w:tc>
        <w:tc>
          <w:tcPr>
            <w:tcW w:w="2127" w:type="dxa"/>
            <w:tcBorders>
              <w:top w:val="single" w:sz="4" w:space="0" w:color="BFBFBF"/>
              <w:left w:val="single" w:sz="4" w:space="0" w:color="BFBFBF"/>
              <w:bottom w:val="single" w:sz="4" w:space="0" w:color="BFBFBF"/>
              <w:right w:val="single" w:sz="4" w:space="0" w:color="BFBFBF"/>
            </w:tcBorders>
          </w:tcPr>
          <w:p w14:paraId="45901FDA" w14:textId="4A0F9798" w:rsidR="00AB199E" w:rsidRDefault="00AB199E" w:rsidP="008206D4">
            <w:pPr>
              <w:pStyle w:val="TableRow"/>
            </w:pPr>
            <w:r>
              <w:t>Actual Spend</w:t>
            </w:r>
          </w:p>
        </w:tc>
      </w:tr>
      <w:tr w:rsidR="00AB199E" w14:paraId="789C19C7" w14:textId="33D24035" w:rsidTr="00AB199E">
        <w:trPr>
          <w:trHeight w:val="381"/>
        </w:trPr>
        <w:tc>
          <w:tcPr>
            <w:tcW w:w="141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1CE5CD" w14:textId="77777777" w:rsidR="00AB199E" w:rsidRPr="005B5EAB" w:rsidRDefault="00AB199E" w:rsidP="008206D4">
            <w:pPr>
              <w:pStyle w:val="TableRow"/>
              <w:rPr>
                <w:rFonts w:cs="Calibri"/>
                <w:b/>
                <w:bCs/>
                <w:sz w:val="22"/>
                <w:szCs w:val="22"/>
              </w:rPr>
            </w:pPr>
            <w:r w:rsidRPr="005B5EAB">
              <w:rPr>
                <w:rFonts w:cs="Calibri"/>
                <w:b/>
                <w:bCs/>
                <w:sz w:val="22"/>
                <w:szCs w:val="22"/>
              </w:rPr>
              <w:t>Priority 1</w:t>
            </w:r>
          </w:p>
        </w:tc>
        <w:tc>
          <w:tcPr>
            <w:tcW w:w="5953" w:type="dxa"/>
            <w:tcBorders>
              <w:top w:val="single" w:sz="4" w:space="0" w:color="BFBFBF"/>
              <w:left w:val="single" w:sz="4" w:space="0" w:color="BFBFBF"/>
              <w:bottom w:val="single" w:sz="4" w:space="0" w:color="BFBFBF"/>
              <w:right w:val="single" w:sz="4" w:space="0" w:color="BFBFBF"/>
            </w:tcBorders>
          </w:tcPr>
          <w:p w14:paraId="0E94DE9F" w14:textId="5FF04CF4" w:rsidR="00AB199E" w:rsidRPr="00C60122" w:rsidRDefault="00AB199E" w:rsidP="008206D4">
            <w:pPr>
              <w:pStyle w:val="TableRow"/>
              <w:rPr>
                <w:sz w:val="22"/>
                <w:szCs w:val="22"/>
              </w:rPr>
            </w:pPr>
            <w:r>
              <w:rPr>
                <w:sz w:val="22"/>
                <w:szCs w:val="22"/>
              </w:rPr>
              <w:t>Pastoral, behaviour and inclusion support team.</w:t>
            </w:r>
          </w:p>
        </w:tc>
        <w:tc>
          <w:tcPr>
            <w:tcW w:w="21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A8B7B3" w14:textId="74823C0C" w:rsidR="00AB199E" w:rsidRPr="00AD1FE3" w:rsidRDefault="00AB199E" w:rsidP="00AD1FE3">
            <w:pPr>
              <w:pStyle w:val="TableRow"/>
              <w:rPr>
                <w:color w:val="auto"/>
                <w:sz w:val="22"/>
                <w:szCs w:val="22"/>
              </w:rPr>
            </w:pPr>
            <w:r w:rsidRPr="00AD1FE3">
              <w:rPr>
                <w:color w:val="auto"/>
                <w:sz w:val="22"/>
                <w:szCs w:val="22"/>
              </w:rPr>
              <w:t>£0</w:t>
            </w:r>
          </w:p>
        </w:tc>
        <w:tc>
          <w:tcPr>
            <w:tcW w:w="2127" w:type="dxa"/>
            <w:tcBorders>
              <w:top w:val="single" w:sz="4" w:space="0" w:color="BFBFBF"/>
              <w:left w:val="single" w:sz="4" w:space="0" w:color="BFBFBF"/>
              <w:bottom w:val="single" w:sz="4" w:space="0" w:color="BFBFBF"/>
              <w:right w:val="single" w:sz="4" w:space="0" w:color="BFBFBF"/>
            </w:tcBorders>
          </w:tcPr>
          <w:p w14:paraId="62275587" w14:textId="152B9FC4" w:rsidR="00AB199E" w:rsidRPr="00AD1FE3" w:rsidRDefault="00AB199E" w:rsidP="00AD1FE3">
            <w:pPr>
              <w:pStyle w:val="TableRow"/>
              <w:rPr>
                <w:color w:val="auto"/>
                <w:sz w:val="22"/>
                <w:szCs w:val="22"/>
              </w:rPr>
            </w:pPr>
            <w:r>
              <w:rPr>
                <w:color w:val="auto"/>
                <w:sz w:val="22"/>
                <w:szCs w:val="22"/>
              </w:rPr>
              <w:t>£0</w:t>
            </w:r>
          </w:p>
        </w:tc>
      </w:tr>
      <w:tr w:rsidR="00AB199E" w14:paraId="08544C90" w14:textId="2D6B538D" w:rsidTr="00AB199E">
        <w:trPr>
          <w:trHeight w:val="381"/>
        </w:trPr>
        <w:tc>
          <w:tcPr>
            <w:tcW w:w="141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95D9A3" w14:textId="77777777" w:rsidR="00AB199E" w:rsidRPr="005B5EAB" w:rsidRDefault="00AB199E" w:rsidP="008206D4">
            <w:pPr>
              <w:pStyle w:val="TableRow"/>
              <w:rPr>
                <w:rFonts w:cs="Calibri"/>
                <w:b/>
                <w:bCs/>
                <w:sz w:val="22"/>
                <w:szCs w:val="22"/>
              </w:rPr>
            </w:pPr>
            <w:r w:rsidRPr="005B5EAB">
              <w:rPr>
                <w:rFonts w:cs="Calibri"/>
                <w:b/>
                <w:bCs/>
                <w:sz w:val="22"/>
                <w:szCs w:val="22"/>
              </w:rPr>
              <w:t>Priority 2</w:t>
            </w:r>
          </w:p>
        </w:tc>
        <w:tc>
          <w:tcPr>
            <w:tcW w:w="5953" w:type="dxa"/>
            <w:tcBorders>
              <w:top w:val="single" w:sz="4" w:space="0" w:color="BFBFBF"/>
              <w:left w:val="single" w:sz="4" w:space="0" w:color="BFBFBF"/>
              <w:bottom w:val="single" w:sz="4" w:space="0" w:color="BFBFBF"/>
              <w:right w:val="single" w:sz="4" w:space="0" w:color="BFBFBF"/>
            </w:tcBorders>
          </w:tcPr>
          <w:p w14:paraId="3AC222B5" w14:textId="3EA1A875" w:rsidR="00AB199E" w:rsidRDefault="00AB199E" w:rsidP="008206D4">
            <w:pPr>
              <w:pStyle w:val="TableRow"/>
              <w:rPr>
                <w:sz w:val="22"/>
                <w:szCs w:val="22"/>
              </w:rPr>
            </w:pPr>
            <w:r>
              <w:rPr>
                <w:sz w:val="22"/>
                <w:szCs w:val="22"/>
              </w:rPr>
              <w:t>Specialist phonics and reading teacher.</w:t>
            </w:r>
          </w:p>
          <w:p w14:paraId="790F951D" w14:textId="77777777" w:rsidR="00AB199E" w:rsidRDefault="00AB199E" w:rsidP="00AB199E">
            <w:pPr>
              <w:pStyle w:val="TableRow"/>
              <w:rPr>
                <w:sz w:val="22"/>
                <w:szCs w:val="22"/>
              </w:rPr>
            </w:pPr>
            <w:r>
              <w:rPr>
                <w:sz w:val="22"/>
                <w:szCs w:val="22"/>
              </w:rPr>
              <w:t>Tutoring and booster groups.</w:t>
            </w:r>
          </w:p>
          <w:p w14:paraId="4CAF9371" w14:textId="33184922" w:rsidR="00AB199E" w:rsidRPr="00AB199E" w:rsidRDefault="00AB199E" w:rsidP="00AB199E">
            <w:pPr>
              <w:pStyle w:val="TableRow"/>
              <w:rPr>
                <w:color w:val="00B0F0"/>
                <w:sz w:val="22"/>
                <w:szCs w:val="22"/>
              </w:rPr>
            </w:pPr>
            <w:r w:rsidRPr="00AB199E">
              <w:rPr>
                <w:color w:val="0070C0"/>
                <w:sz w:val="22"/>
                <w:szCs w:val="22"/>
              </w:rPr>
              <w:lastRenderedPageBreak/>
              <w:t>Summer Term funding £6000 to be used for tutoring groups of children</w:t>
            </w:r>
            <w:r w:rsidR="009E0420">
              <w:rPr>
                <w:color w:val="0070C0"/>
                <w:sz w:val="22"/>
                <w:szCs w:val="22"/>
              </w:rPr>
              <w:t xml:space="preserve"> &amp; to fund maths </w:t>
            </w:r>
            <w:r w:rsidR="00876B11">
              <w:rPr>
                <w:color w:val="0070C0"/>
                <w:sz w:val="22"/>
                <w:szCs w:val="22"/>
              </w:rPr>
              <w:t xml:space="preserve">(TSL) as identified through the National Tutoring Programme (NTP) website </w:t>
            </w:r>
          </w:p>
        </w:tc>
        <w:tc>
          <w:tcPr>
            <w:tcW w:w="21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777AD69" w14:textId="190D0801" w:rsidR="00AB199E" w:rsidRDefault="00AB199E" w:rsidP="008206D4">
            <w:pPr>
              <w:pStyle w:val="TableRow"/>
              <w:rPr>
                <w:color w:val="auto"/>
                <w:sz w:val="22"/>
                <w:szCs w:val="22"/>
              </w:rPr>
            </w:pPr>
            <w:r w:rsidRPr="00AD1FE3">
              <w:rPr>
                <w:color w:val="auto"/>
                <w:sz w:val="22"/>
                <w:szCs w:val="22"/>
              </w:rPr>
              <w:lastRenderedPageBreak/>
              <w:t>£24,080</w:t>
            </w:r>
          </w:p>
          <w:p w14:paraId="23F8D82C" w14:textId="1C89D73E" w:rsidR="00AB199E" w:rsidRDefault="00AB199E" w:rsidP="008206D4">
            <w:pPr>
              <w:pStyle w:val="TableRow"/>
              <w:rPr>
                <w:color w:val="auto"/>
                <w:sz w:val="22"/>
                <w:szCs w:val="22"/>
              </w:rPr>
            </w:pPr>
          </w:p>
          <w:p w14:paraId="6F133565" w14:textId="691777BF" w:rsidR="00AB199E" w:rsidRPr="00AB199E" w:rsidRDefault="00AB199E" w:rsidP="008206D4">
            <w:pPr>
              <w:pStyle w:val="TableRow"/>
              <w:rPr>
                <w:color w:val="0070C0"/>
                <w:sz w:val="22"/>
                <w:szCs w:val="22"/>
              </w:rPr>
            </w:pPr>
            <w:r w:rsidRPr="00AB199E">
              <w:rPr>
                <w:color w:val="0070C0"/>
                <w:sz w:val="22"/>
                <w:szCs w:val="22"/>
              </w:rPr>
              <w:lastRenderedPageBreak/>
              <w:t>£6000</w:t>
            </w:r>
          </w:p>
          <w:p w14:paraId="6ACAFCE2" w14:textId="2D96C5BA" w:rsidR="00AB199E" w:rsidRPr="00AD1FE3" w:rsidRDefault="00AB199E" w:rsidP="008206D4">
            <w:pPr>
              <w:pStyle w:val="TableRow"/>
              <w:rPr>
                <w:color w:val="auto"/>
                <w:sz w:val="22"/>
                <w:szCs w:val="22"/>
              </w:rPr>
            </w:pPr>
          </w:p>
        </w:tc>
        <w:tc>
          <w:tcPr>
            <w:tcW w:w="2127" w:type="dxa"/>
            <w:tcBorders>
              <w:top w:val="single" w:sz="4" w:space="0" w:color="BFBFBF"/>
              <w:left w:val="single" w:sz="4" w:space="0" w:color="BFBFBF"/>
              <w:bottom w:val="single" w:sz="4" w:space="0" w:color="BFBFBF"/>
              <w:right w:val="single" w:sz="4" w:space="0" w:color="BFBFBF"/>
            </w:tcBorders>
          </w:tcPr>
          <w:p w14:paraId="6596E7B8" w14:textId="2133360B" w:rsidR="00AB199E" w:rsidRPr="00AD1FE3" w:rsidRDefault="00AB199E" w:rsidP="008206D4">
            <w:pPr>
              <w:pStyle w:val="TableRow"/>
              <w:rPr>
                <w:color w:val="auto"/>
                <w:sz w:val="22"/>
                <w:szCs w:val="22"/>
              </w:rPr>
            </w:pPr>
            <w:r>
              <w:rPr>
                <w:color w:val="auto"/>
                <w:sz w:val="22"/>
                <w:szCs w:val="22"/>
              </w:rPr>
              <w:lastRenderedPageBreak/>
              <w:t>£24,080</w:t>
            </w:r>
          </w:p>
        </w:tc>
      </w:tr>
      <w:tr w:rsidR="00AB199E" w14:paraId="785EB267" w14:textId="544010F7" w:rsidTr="00AB199E">
        <w:trPr>
          <w:trHeight w:val="381"/>
        </w:trPr>
        <w:tc>
          <w:tcPr>
            <w:tcW w:w="141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509D781" w14:textId="4144AC71" w:rsidR="00AB199E" w:rsidRPr="005B5EAB" w:rsidRDefault="00AB199E" w:rsidP="008206D4">
            <w:pPr>
              <w:pStyle w:val="TableRow"/>
              <w:rPr>
                <w:rFonts w:cs="Calibri"/>
                <w:b/>
                <w:bCs/>
                <w:sz w:val="22"/>
                <w:szCs w:val="22"/>
              </w:rPr>
            </w:pPr>
            <w:r w:rsidRPr="005B5EAB">
              <w:rPr>
                <w:rFonts w:cs="Calibri"/>
                <w:b/>
                <w:bCs/>
                <w:sz w:val="22"/>
                <w:szCs w:val="22"/>
              </w:rPr>
              <w:t>Priority 3</w:t>
            </w:r>
          </w:p>
        </w:tc>
        <w:tc>
          <w:tcPr>
            <w:tcW w:w="5953" w:type="dxa"/>
            <w:tcBorders>
              <w:top w:val="single" w:sz="4" w:space="0" w:color="BFBFBF"/>
              <w:left w:val="single" w:sz="4" w:space="0" w:color="BFBFBF"/>
              <w:bottom w:val="single" w:sz="4" w:space="0" w:color="BFBFBF"/>
              <w:right w:val="single" w:sz="4" w:space="0" w:color="BFBFBF"/>
            </w:tcBorders>
          </w:tcPr>
          <w:p w14:paraId="741DAF7F" w14:textId="77777777" w:rsidR="00AB199E" w:rsidRDefault="00AB199E" w:rsidP="008206D4">
            <w:pPr>
              <w:pStyle w:val="TableRow"/>
              <w:rPr>
                <w:sz w:val="22"/>
                <w:szCs w:val="22"/>
              </w:rPr>
            </w:pPr>
            <w:r>
              <w:rPr>
                <w:sz w:val="22"/>
                <w:szCs w:val="22"/>
              </w:rPr>
              <w:t>Pompey Pirates.</w:t>
            </w:r>
          </w:p>
          <w:p w14:paraId="25D6FD44" w14:textId="0C2C2B18" w:rsidR="00AB199E" w:rsidRPr="00C60122" w:rsidRDefault="00AB199E" w:rsidP="008206D4">
            <w:pPr>
              <w:pStyle w:val="TableRow"/>
              <w:rPr>
                <w:sz w:val="22"/>
                <w:szCs w:val="22"/>
              </w:rPr>
            </w:pPr>
          </w:p>
        </w:tc>
        <w:tc>
          <w:tcPr>
            <w:tcW w:w="21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C6CF60" w14:textId="1F965810" w:rsidR="00AB199E" w:rsidRPr="00AD1FE3" w:rsidRDefault="00AB199E" w:rsidP="008206D4">
            <w:pPr>
              <w:pStyle w:val="TableRow"/>
              <w:rPr>
                <w:color w:val="auto"/>
                <w:sz w:val="22"/>
                <w:szCs w:val="22"/>
              </w:rPr>
            </w:pPr>
            <w:r w:rsidRPr="00AD1FE3">
              <w:rPr>
                <w:color w:val="auto"/>
                <w:sz w:val="22"/>
                <w:szCs w:val="22"/>
              </w:rPr>
              <w:t>£4,500</w:t>
            </w:r>
          </w:p>
          <w:p w14:paraId="059D2345" w14:textId="696DA52E" w:rsidR="00AB199E" w:rsidRPr="00AD1FE3" w:rsidRDefault="00AB199E" w:rsidP="008206D4">
            <w:pPr>
              <w:pStyle w:val="TableRow"/>
              <w:rPr>
                <w:color w:val="auto"/>
                <w:sz w:val="22"/>
                <w:szCs w:val="22"/>
              </w:rPr>
            </w:pPr>
          </w:p>
        </w:tc>
        <w:tc>
          <w:tcPr>
            <w:tcW w:w="2127" w:type="dxa"/>
            <w:tcBorders>
              <w:top w:val="single" w:sz="4" w:space="0" w:color="BFBFBF"/>
              <w:left w:val="single" w:sz="4" w:space="0" w:color="BFBFBF"/>
              <w:bottom w:val="single" w:sz="4" w:space="0" w:color="BFBFBF"/>
              <w:right w:val="single" w:sz="4" w:space="0" w:color="BFBFBF"/>
            </w:tcBorders>
          </w:tcPr>
          <w:p w14:paraId="00968736" w14:textId="48CEEEA4" w:rsidR="00AB199E" w:rsidRPr="00AD1FE3" w:rsidRDefault="00AB199E" w:rsidP="008206D4">
            <w:pPr>
              <w:pStyle w:val="TableRow"/>
              <w:rPr>
                <w:color w:val="auto"/>
                <w:sz w:val="22"/>
                <w:szCs w:val="22"/>
              </w:rPr>
            </w:pPr>
            <w:r>
              <w:rPr>
                <w:color w:val="auto"/>
                <w:sz w:val="22"/>
                <w:szCs w:val="22"/>
              </w:rPr>
              <w:t>£4,500</w:t>
            </w:r>
          </w:p>
        </w:tc>
      </w:tr>
      <w:tr w:rsidR="00AB199E" w14:paraId="2695525C" w14:textId="4860A6B9" w:rsidTr="00AB199E">
        <w:trPr>
          <w:trHeight w:val="381"/>
        </w:trPr>
        <w:tc>
          <w:tcPr>
            <w:tcW w:w="141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3EF1D4A" w14:textId="0626707A" w:rsidR="00AB199E" w:rsidRPr="00CC591D" w:rsidRDefault="00AB199E" w:rsidP="008206D4">
            <w:pPr>
              <w:pStyle w:val="TableRow"/>
              <w:rPr>
                <w:rFonts w:cs="Calibri"/>
                <w:b/>
                <w:bCs/>
                <w:color w:val="auto"/>
                <w:sz w:val="22"/>
                <w:szCs w:val="22"/>
              </w:rPr>
            </w:pPr>
            <w:r w:rsidRPr="00CC591D">
              <w:rPr>
                <w:rFonts w:cs="Calibri"/>
                <w:b/>
                <w:bCs/>
                <w:color w:val="auto"/>
                <w:sz w:val="22"/>
                <w:szCs w:val="22"/>
              </w:rPr>
              <w:t>Priority 4</w:t>
            </w:r>
          </w:p>
        </w:tc>
        <w:tc>
          <w:tcPr>
            <w:tcW w:w="5953" w:type="dxa"/>
            <w:tcBorders>
              <w:top w:val="single" w:sz="4" w:space="0" w:color="BFBFBF"/>
              <w:left w:val="single" w:sz="4" w:space="0" w:color="BFBFBF"/>
              <w:bottom w:val="single" w:sz="4" w:space="0" w:color="BFBFBF"/>
              <w:right w:val="single" w:sz="4" w:space="0" w:color="BFBFBF"/>
            </w:tcBorders>
          </w:tcPr>
          <w:p w14:paraId="7999D7AA" w14:textId="2A5A56E3" w:rsidR="00AB199E" w:rsidRDefault="00AB199E" w:rsidP="008206D4">
            <w:pPr>
              <w:pStyle w:val="TableRow"/>
              <w:rPr>
                <w:color w:val="auto"/>
                <w:sz w:val="22"/>
                <w:szCs w:val="22"/>
              </w:rPr>
            </w:pPr>
            <w:r w:rsidRPr="00CC591D">
              <w:rPr>
                <w:color w:val="auto"/>
                <w:sz w:val="22"/>
                <w:szCs w:val="22"/>
              </w:rPr>
              <w:t>Immediate and rapid intervention (Bounce Back Intervention</w:t>
            </w:r>
            <w:r>
              <w:rPr>
                <w:color w:val="auto"/>
                <w:sz w:val="22"/>
                <w:szCs w:val="22"/>
              </w:rPr>
              <w:t>) carried out by teacher or cover team</w:t>
            </w:r>
            <w:r w:rsidRPr="00CC591D">
              <w:rPr>
                <w:color w:val="auto"/>
                <w:sz w:val="22"/>
                <w:szCs w:val="22"/>
              </w:rPr>
              <w:t>.</w:t>
            </w:r>
          </w:p>
          <w:p w14:paraId="43A98857" w14:textId="5007C72C" w:rsidR="00AB199E" w:rsidRPr="00CC591D" w:rsidRDefault="00AB199E" w:rsidP="008206D4">
            <w:pPr>
              <w:pStyle w:val="TableRow"/>
              <w:rPr>
                <w:color w:val="auto"/>
                <w:sz w:val="22"/>
                <w:szCs w:val="22"/>
              </w:rPr>
            </w:pPr>
            <w:r>
              <w:rPr>
                <w:rFonts w:cs="Arial"/>
                <w:sz w:val="22"/>
                <w:szCs w:val="22"/>
              </w:rPr>
              <w:t>Employ fourth teacher (0.6) to provide catch-up curriculum in Year 5</w:t>
            </w:r>
            <w:r w:rsidR="00876B11">
              <w:rPr>
                <w:rFonts w:cs="Arial"/>
                <w:sz w:val="22"/>
                <w:szCs w:val="22"/>
              </w:rPr>
              <w:t xml:space="preserve"> </w:t>
            </w:r>
            <w:r w:rsidR="00876B11" w:rsidRPr="00876B11">
              <w:rPr>
                <w:rFonts w:cs="Arial"/>
                <w:color w:val="7030A0"/>
                <w:sz w:val="22"/>
                <w:szCs w:val="22"/>
              </w:rPr>
              <w:t>(this didn’t happen due to Lockdown)</w:t>
            </w:r>
          </w:p>
        </w:tc>
        <w:tc>
          <w:tcPr>
            <w:tcW w:w="21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565E9F" w14:textId="24922520" w:rsidR="00AB199E" w:rsidRPr="00AD1FE3" w:rsidRDefault="00AB199E" w:rsidP="008206D4">
            <w:pPr>
              <w:pStyle w:val="TableRow"/>
              <w:rPr>
                <w:color w:val="auto"/>
                <w:sz w:val="22"/>
                <w:szCs w:val="22"/>
              </w:rPr>
            </w:pPr>
            <w:r w:rsidRPr="00AD1FE3">
              <w:rPr>
                <w:color w:val="auto"/>
                <w:sz w:val="22"/>
                <w:szCs w:val="22"/>
              </w:rPr>
              <w:t>£10,000</w:t>
            </w:r>
          </w:p>
          <w:p w14:paraId="2C94610D" w14:textId="77777777" w:rsidR="00AB199E" w:rsidRPr="00AD1FE3" w:rsidRDefault="00AB199E" w:rsidP="008206D4">
            <w:pPr>
              <w:pStyle w:val="TableRow"/>
              <w:rPr>
                <w:color w:val="auto"/>
                <w:sz w:val="22"/>
                <w:szCs w:val="22"/>
              </w:rPr>
            </w:pPr>
          </w:p>
          <w:p w14:paraId="67439418" w14:textId="29A2A84C" w:rsidR="00AB199E" w:rsidRPr="00AD1FE3" w:rsidRDefault="00AB199E" w:rsidP="008206D4">
            <w:pPr>
              <w:pStyle w:val="TableRow"/>
              <w:rPr>
                <w:color w:val="auto"/>
                <w:sz w:val="22"/>
                <w:szCs w:val="22"/>
              </w:rPr>
            </w:pPr>
            <w:r w:rsidRPr="00AD1FE3">
              <w:rPr>
                <w:color w:val="auto"/>
                <w:sz w:val="22"/>
                <w:szCs w:val="22"/>
              </w:rPr>
              <w:t>£8,000</w:t>
            </w:r>
          </w:p>
        </w:tc>
        <w:tc>
          <w:tcPr>
            <w:tcW w:w="2127" w:type="dxa"/>
            <w:tcBorders>
              <w:top w:val="single" w:sz="4" w:space="0" w:color="BFBFBF"/>
              <w:left w:val="single" w:sz="4" w:space="0" w:color="BFBFBF"/>
              <w:bottom w:val="single" w:sz="4" w:space="0" w:color="BFBFBF"/>
              <w:right w:val="single" w:sz="4" w:space="0" w:color="BFBFBF"/>
            </w:tcBorders>
          </w:tcPr>
          <w:p w14:paraId="59CBDAAF" w14:textId="1133CFA9" w:rsidR="00AB199E" w:rsidRPr="00AD1FE3" w:rsidRDefault="00711D72" w:rsidP="008206D4">
            <w:pPr>
              <w:pStyle w:val="TableRow"/>
              <w:rPr>
                <w:color w:val="auto"/>
                <w:sz w:val="22"/>
                <w:szCs w:val="22"/>
              </w:rPr>
            </w:pPr>
            <w:r>
              <w:rPr>
                <w:color w:val="auto"/>
                <w:sz w:val="22"/>
                <w:szCs w:val="22"/>
              </w:rPr>
              <w:t>£24,5</w:t>
            </w:r>
            <w:r w:rsidR="00876B11">
              <w:rPr>
                <w:color w:val="auto"/>
                <w:sz w:val="22"/>
                <w:szCs w:val="22"/>
              </w:rPr>
              <w:t>00 due to Lock</w:t>
            </w:r>
            <w:r w:rsidR="00AB199E">
              <w:rPr>
                <w:color w:val="auto"/>
                <w:sz w:val="22"/>
                <w:szCs w:val="22"/>
              </w:rPr>
              <w:t xml:space="preserve">down 3 </w:t>
            </w:r>
            <w:proofErr w:type="gramStart"/>
            <w:r w:rsidR="00AB199E">
              <w:rPr>
                <w:color w:val="auto"/>
                <w:sz w:val="22"/>
                <w:szCs w:val="22"/>
              </w:rPr>
              <w:t>was used</w:t>
            </w:r>
            <w:proofErr w:type="gramEnd"/>
            <w:r w:rsidR="00AB199E">
              <w:rPr>
                <w:color w:val="auto"/>
                <w:sz w:val="22"/>
                <w:szCs w:val="22"/>
              </w:rPr>
              <w:t xml:space="preserve"> to buy laptops to support the catch up and blended learning.</w:t>
            </w:r>
          </w:p>
        </w:tc>
      </w:tr>
      <w:tr w:rsidR="00AB199E" w14:paraId="3A20E17C" w14:textId="08954972" w:rsidTr="00AB199E">
        <w:trPr>
          <w:trHeight w:val="381"/>
        </w:trPr>
        <w:tc>
          <w:tcPr>
            <w:tcW w:w="736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B6CEBD5" w14:textId="1038A7EB" w:rsidR="00AB199E" w:rsidRPr="005B5EAB" w:rsidRDefault="00AB199E" w:rsidP="008206D4">
            <w:pPr>
              <w:pStyle w:val="TableRow"/>
              <w:rPr>
                <w:b/>
                <w:bCs/>
                <w:sz w:val="22"/>
                <w:szCs w:val="22"/>
              </w:rPr>
            </w:pPr>
            <w:r w:rsidRPr="005B5EAB">
              <w:rPr>
                <w:b/>
                <w:bCs/>
                <w:sz w:val="22"/>
                <w:szCs w:val="22"/>
              </w:rPr>
              <w:t>Total spend</w:t>
            </w:r>
            <w:r>
              <w:rPr>
                <w:b/>
                <w:bCs/>
                <w:sz w:val="22"/>
                <w:szCs w:val="22"/>
              </w:rPr>
              <w:t xml:space="preserve">    </w:t>
            </w:r>
            <w:r w:rsidRPr="00AD1FE3">
              <w:rPr>
                <w:b/>
                <w:bCs/>
                <w:sz w:val="22"/>
                <w:szCs w:val="22"/>
              </w:rPr>
              <w:t>£42,800</w:t>
            </w:r>
          </w:p>
        </w:tc>
        <w:tc>
          <w:tcPr>
            <w:tcW w:w="2127" w:type="dxa"/>
            <w:tcBorders>
              <w:top w:val="single" w:sz="4" w:space="0" w:color="BFBFBF"/>
              <w:left w:val="single" w:sz="4" w:space="0" w:color="BFBFBF"/>
              <w:bottom w:val="single" w:sz="4" w:space="0" w:color="BFBFBF"/>
              <w:right w:val="single" w:sz="4" w:space="0" w:color="BFBFBF"/>
            </w:tcBorders>
            <w:shd w:val="clear" w:color="auto" w:fill="00B050"/>
            <w:tcMar>
              <w:top w:w="0" w:type="dxa"/>
              <w:left w:w="108" w:type="dxa"/>
              <w:bottom w:w="0" w:type="dxa"/>
              <w:right w:w="108" w:type="dxa"/>
            </w:tcMar>
          </w:tcPr>
          <w:p w14:paraId="4CA03BBF" w14:textId="059536F7" w:rsidR="00AB199E" w:rsidRPr="00C60122" w:rsidRDefault="00AB199E" w:rsidP="008206D4">
            <w:pPr>
              <w:pStyle w:val="TableRow"/>
              <w:rPr>
                <w:sz w:val="22"/>
                <w:szCs w:val="22"/>
              </w:rPr>
            </w:pPr>
            <w:r>
              <w:rPr>
                <w:sz w:val="22"/>
                <w:szCs w:val="22"/>
              </w:rPr>
              <w:t>£52,580</w:t>
            </w:r>
          </w:p>
        </w:tc>
        <w:tc>
          <w:tcPr>
            <w:tcW w:w="2127" w:type="dxa"/>
            <w:tcBorders>
              <w:top w:val="single" w:sz="4" w:space="0" w:color="BFBFBF"/>
              <w:left w:val="single" w:sz="4" w:space="0" w:color="BFBFBF"/>
              <w:bottom w:val="single" w:sz="4" w:space="0" w:color="BFBFBF"/>
              <w:right w:val="single" w:sz="4" w:space="0" w:color="BFBFBF"/>
            </w:tcBorders>
            <w:shd w:val="clear" w:color="auto" w:fill="00B050"/>
          </w:tcPr>
          <w:p w14:paraId="6B8F9BBF" w14:textId="7C707F8C" w:rsidR="00AB199E" w:rsidRDefault="00711D72" w:rsidP="008206D4">
            <w:pPr>
              <w:pStyle w:val="TableRow"/>
              <w:rPr>
                <w:sz w:val="22"/>
                <w:szCs w:val="22"/>
              </w:rPr>
            </w:pPr>
            <w:r>
              <w:rPr>
                <w:sz w:val="22"/>
                <w:szCs w:val="22"/>
              </w:rPr>
              <w:t>£53,080</w:t>
            </w:r>
          </w:p>
        </w:tc>
      </w:tr>
    </w:tbl>
    <w:p w14:paraId="49854DA4" w14:textId="77777777" w:rsidR="0037117A" w:rsidRDefault="0037117A" w:rsidP="007A7DF0"/>
    <w:p w14:paraId="2E344D81" w14:textId="62FFBD97" w:rsidR="0037117A" w:rsidRDefault="0037117A" w:rsidP="007A7DF0"/>
    <w:p w14:paraId="24592574" w14:textId="0AFE9741" w:rsidR="00F349B7" w:rsidRDefault="00F349B7" w:rsidP="007A7DF0"/>
    <w:p w14:paraId="63FD505C" w14:textId="0800B8A9" w:rsidR="00F349B7" w:rsidRDefault="00F349B7" w:rsidP="007A7DF0"/>
    <w:p w14:paraId="1EB8D9B4" w14:textId="77777777" w:rsidR="00F349B7" w:rsidRDefault="00F349B7" w:rsidP="007A7DF0"/>
    <w:p w14:paraId="278E2621" w14:textId="77777777" w:rsidR="0037117A" w:rsidRPr="0037117A" w:rsidRDefault="0037117A" w:rsidP="007A7DF0">
      <w:pPr>
        <w:rPr>
          <w:rFonts w:ascii="Arial" w:hAnsi="Arial" w:cs="Arial"/>
          <w:b/>
          <w:color w:val="A14F8C"/>
        </w:rPr>
      </w:pPr>
      <w:r w:rsidRPr="0037117A">
        <w:rPr>
          <w:rFonts w:ascii="Arial" w:hAnsi="Arial" w:cs="Arial"/>
          <w:b/>
          <w:color w:val="A14F8C"/>
        </w:rPr>
        <w:t>MANAGING RISK</w:t>
      </w:r>
    </w:p>
    <w:p w14:paraId="135998C8" w14:textId="77777777" w:rsidR="0037117A" w:rsidRDefault="0037117A" w:rsidP="007A7DF0"/>
    <w:tbl>
      <w:tblPr>
        <w:tblW w:w="9493"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0" w:type="dxa"/>
          <w:right w:w="10" w:type="dxa"/>
        </w:tblCellMar>
        <w:tblLook w:val="04A0" w:firstRow="1" w:lastRow="0" w:firstColumn="1" w:lastColumn="0" w:noHBand="0" w:noVBand="1"/>
      </w:tblPr>
      <w:tblGrid>
        <w:gridCol w:w="1980"/>
        <w:gridCol w:w="4819"/>
        <w:gridCol w:w="2694"/>
      </w:tblGrid>
      <w:tr w:rsidR="0037117A" w14:paraId="2116497C" w14:textId="77777777" w:rsidTr="00AC16A7">
        <w:tc>
          <w:tcPr>
            <w:tcW w:w="1980" w:type="dxa"/>
            <w:shd w:val="clear" w:color="auto" w:fill="auto"/>
            <w:tcMar>
              <w:top w:w="0" w:type="dxa"/>
              <w:left w:w="108" w:type="dxa"/>
              <w:bottom w:w="0" w:type="dxa"/>
              <w:right w:w="108" w:type="dxa"/>
            </w:tcMar>
          </w:tcPr>
          <w:p w14:paraId="6F46ED7F" w14:textId="0442D612" w:rsidR="0037117A" w:rsidRDefault="00604EFD" w:rsidP="008206D4">
            <w:pPr>
              <w:pStyle w:val="TableRow"/>
              <w:rPr>
                <w:b/>
                <w:sz w:val="22"/>
                <w:szCs w:val="22"/>
              </w:rPr>
            </w:pPr>
            <w:r>
              <w:rPr>
                <w:b/>
                <w:sz w:val="22"/>
                <w:szCs w:val="22"/>
              </w:rPr>
              <w:t>Priority</w:t>
            </w:r>
          </w:p>
        </w:tc>
        <w:tc>
          <w:tcPr>
            <w:tcW w:w="4819" w:type="dxa"/>
            <w:shd w:val="clear" w:color="auto" w:fill="auto"/>
            <w:tcMar>
              <w:top w:w="0" w:type="dxa"/>
              <w:left w:w="108" w:type="dxa"/>
              <w:bottom w:w="0" w:type="dxa"/>
              <w:right w:w="108" w:type="dxa"/>
            </w:tcMar>
          </w:tcPr>
          <w:p w14:paraId="0F120DDC" w14:textId="77777777" w:rsidR="0037117A" w:rsidRDefault="0037117A" w:rsidP="008206D4">
            <w:pPr>
              <w:pStyle w:val="TableRow"/>
              <w:rPr>
                <w:b/>
                <w:szCs w:val="22"/>
              </w:rPr>
            </w:pPr>
            <w:r>
              <w:rPr>
                <w:b/>
                <w:szCs w:val="22"/>
              </w:rPr>
              <w:t>Challenge</w:t>
            </w:r>
          </w:p>
        </w:tc>
        <w:tc>
          <w:tcPr>
            <w:tcW w:w="2694" w:type="dxa"/>
            <w:shd w:val="clear" w:color="auto" w:fill="auto"/>
            <w:tcMar>
              <w:top w:w="0" w:type="dxa"/>
              <w:left w:w="108" w:type="dxa"/>
              <w:bottom w:w="0" w:type="dxa"/>
              <w:right w:w="108" w:type="dxa"/>
            </w:tcMar>
          </w:tcPr>
          <w:p w14:paraId="42AA79FA" w14:textId="77777777" w:rsidR="0037117A" w:rsidRDefault="0037117A" w:rsidP="008206D4">
            <w:pPr>
              <w:pStyle w:val="TableRow"/>
              <w:rPr>
                <w:b/>
                <w:szCs w:val="22"/>
              </w:rPr>
            </w:pPr>
            <w:r>
              <w:rPr>
                <w:b/>
                <w:szCs w:val="22"/>
              </w:rPr>
              <w:t>Mitigating action</w:t>
            </w:r>
          </w:p>
        </w:tc>
      </w:tr>
      <w:tr w:rsidR="0037117A" w14:paraId="4D351490" w14:textId="77777777" w:rsidTr="00AC16A7">
        <w:tc>
          <w:tcPr>
            <w:tcW w:w="1980" w:type="dxa"/>
            <w:shd w:val="clear" w:color="auto" w:fill="auto"/>
            <w:tcMar>
              <w:top w:w="0" w:type="dxa"/>
              <w:left w:w="108" w:type="dxa"/>
              <w:bottom w:w="0" w:type="dxa"/>
              <w:right w:w="108" w:type="dxa"/>
            </w:tcMar>
            <w:vAlign w:val="center"/>
          </w:tcPr>
          <w:p w14:paraId="255B6E0C" w14:textId="77777777" w:rsidR="0037117A" w:rsidRPr="00E733E0" w:rsidRDefault="00FC5A83" w:rsidP="008206D4">
            <w:pPr>
              <w:pStyle w:val="TableRow"/>
              <w:ind w:left="0"/>
              <w:rPr>
                <w:rFonts w:cs="Calibri"/>
                <w:b/>
                <w:bCs/>
                <w:sz w:val="22"/>
                <w:szCs w:val="22"/>
              </w:rPr>
            </w:pPr>
            <w:r w:rsidRPr="00E733E0">
              <w:rPr>
                <w:rFonts w:cs="Calibri"/>
                <w:b/>
                <w:bCs/>
                <w:sz w:val="22"/>
                <w:szCs w:val="22"/>
              </w:rPr>
              <w:t>Priority 1, 2, 3, 4</w:t>
            </w:r>
          </w:p>
          <w:p w14:paraId="7DA94025" w14:textId="77777777" w:rsidR="00987163" w:rsidRPr="00E733E0" w:rsidRDefault="00987163" w:rsidP="008206D4">
            <w:pPr>
              <w:pStyle w:val="TableRow"/>
              <w:ind w:left="0"/>
              <w:rPr>
                <w:rFonts w:cs="Calibri"/>
                <w:sz w:val="22"/>
                <w:szCs w:val="22"/>
              </w:rPr>
            </w:pPr>
          </w:p>
          <w:p w14:paraId="6F0DCF78" w14:textId="5B881F53" w:rsidR="00987163" w:rsidRPr="00E733E0" w:rsidRDefault="00987163" w:rsidP="008206D4">
            <w:pPr>
              <w:pStyle w:val="TableRow"/>
              <w:ind w:left="0"/>
              <w:rPr>
                <w:rFonts w:cs="Calibri"/>
                <w:sz w:val="22"/>
                <w:szCs w:val="22"/>
              </w:rPr>
            </w:pPr>
          </w:p>
        </w:tc>
        <w:tc>
          <w:tcPr>
            <w:tcW w:w="4819" w:type="dxa"/>
            <w:shd w:val="clear" w:color="auto" w:fill="auto"/>
            <w:tcMar>
              <w:top w:w="0" w:type="dxa"/>
              <w:left w:w="108" w:type="dxa"/>
              <w:bottom w:w="0" w:type="dxa"/>
              <w:right w:w="108" w:type="dxa"/>
            </w:tcMar>
          </w:tcPr>
          <w:p w14:paraId="7FDD1BFC" w14:textId="6DAB47E8" w:rsidR="0037117A" w:rsidRPr="00E733E0" w:rsidRDefault="00E30176" w:rsidP="008206D4">
            <w:pPr>
              <w:pStyle w:val="TableRow"/>
              <w:rPr>
                <w:sz w:val="22"/>
                <w:szCs w:val="22"/>
              </w:rPr>
            </w:pPr>
            <w:proofErr w:type="gramStart"/>
            <w:r>
              <w:rPr>
                <w:sz w:val="22"/>
                <w:szCs w:val="22"/>
              </w:rPr>
              <w:t>Staffing a</w:t>
            </w:r>
            <w:r w:rsidR="00987163" w:rsidRPr="00E733E0">
              <w:rPr>
                <w:sz w:val="22"/>
                <w:szCs w:val="22"/>
              </w:rPr>
              <w:t>ttendance – the consistency of the catch-up plan is affected by number of staff and children isolating</w:t>
            </w:r>
            <w:proofErr w:type="gramEnd"/>
            <w:r w:rsidR="00987163" w:rsidRPr="00E733E0">
              <w:rPr>
                <w:sz w:val="22"/>
                <w:szCs w:val="22"/>
              </w:rPr>
              <w:t>.</w:t>
            </w:r>
          </w:p>
        </w:tc>
        <w:tc>
          <w:tcPr>
            <w:tcW w:w="2694" w:type="dxa"/>
            <w:shd w:val="clear" w:color="auto" w:fill="auto"/>
            <w:tcMar>
              <w:top w:w="0" w:type="dxa"/>
              <w:left w:w="108" w:type="dxa"/>
              <w:bottom w:w="0" w:type="dxa"/>
              <w:right w:w="108" w:type="dxa"/>
            </w:tcMar>
          </w:tcPr>
          <w:p w14:paraId="60879A3E" w14:textId="075026EA" w:rsidR="0037117A" w:rsidRPr="00E733E0" w:rsidRDefault="00E30176" w:rsidP="008206D4">
            <w:pPr>
              <w:pStyle w:val="TableRow"/>
              <w:rPr>
                <w:sz w:val="22"/>
                <w:szCs w:val="22"/>
              </w:rPr>
            </w:pPr>
            <w:r>
              <w:rPr>
                <w:sz w:val="22"/>
                <w:szCs w:val="22"/>
              </w:rPr>
              <w:t>Utilizing cover staff and senior staff where possible</w:t>
            </w:r>
          </w:p>
        </w:tc>
      </w:tr>
      <w:tr w:rsidR="0037117A" w14:paraId="17B6CAC5" w14:textId="77777777" w:rsidTr="00AC16A7">
        <w:tc>
          <w:tcPr>
            <w:tcW w:w="1980" w:type="dxa"/>
            <w:shd w:val="clear" w:color="auto" w:fill="auto"/>
            <w:tcMar>
              <w:top w:w="0" w:type="dxa"/>
              <w:left w:w="108" w:type="dxa"/>
              <w:bottom w:w="0" w:type="dxa"/>
              <w:right w:w="108" w:type="dxa"/>
            </w:tcMar>
            <w:vAlign w:val="center"/>
          </w:tcPr>
          <w:p w14:paraId="58D2228A" w14:textId="77777777" w:rsidR="0037117A" w:rsidRDefault="00AC16A7" w:rsidP="008206D4">
            <w:pPr>
              <w:pStyle w:val="TableRow"/>
              <w:ind w:left="0"/>
              <w:rPr>
                <w:rFonts w:cs="Calibri"/>
                <w:b/>
                <w:bCs/>
                <w:sz w:val="22"/>
                <w:szCs w:val="22"/>
              </w:rPr>
            </w:pPr>
            <w:r w:rsidRPr="00AC16A7">
              <w:rPr>
                <w:rFonts w:cs="Calibri"/>
                <w:b/>
                <w:bCs/>
                <w:sz w:val="22"/>
                <w:szCs w:val="22"/>
              </w:rPr>
              <w:t xml:space="preserve">Priority </w:t>
            </w:r>
            <w:r>
              <w:rPr>
                <w:rFonts w:cs="Calibri"/>
                <w:b/>
                <w:bCs/>
                <w:sz w:val="22"/>
                <w:szCs w:val="22"/>
              </w:rPr>
              <w:t>2, 3, 4</w:t>
            </w:r>
          </w:p>
          <w:p w14:paraId="2E5B80D0" w14:textId="77777777" w:rsidR="009C3571" w:rsidRDefault="009C3571" w:rsidP="008206D4">
            <w:pPr>
              <w:pStyle w:val="TableRow"/>
              <w:ind w:left="0"/>
              <w:rPr>
                <w:rFonts w:cs="Calibri"/>
                <w:b/>
                <w:bCs/>
                <w:sz w:val="22"/>
                <w:szCs w:val="22"/>
              </w:rPr>
            </w:pPr>
          </w:p>
          <w:p w14:paraId="0862C291" w14:textId="1083E100" w:rsidR="009C3571" w:rsidRPr="00AC16A7" w:rsidRDefault="009C3571" w:rsidP="008206D4">
            <w:pPr>
              <w:pStyle w:val="TableRow"/>
              <w:ind w:left="0"/>
              <w:rPr>
                <w:rFonts w:cs="Calibri"/>
                <w:b/>
                <w:bCs/>
                <w:sz w:val="22"/>
                <w:szCs w:val="22"/>
              </w:rPr>
            </w:pPr>
          </w:p>
        </w:tc>
        <w:tc>
          <w:tcPr>
            <w:tcW w:w="4819" w:type="dxa"/>
            <w:shd w:val="clear" w:color="auto" w:fill="auto"/>
            <w:tcMar>
              <w:top w:w="0" w:type="dxa"/>
              <w:left w:w="108" w:type="dxa"/>
              <w:bottom w:w="0" w:type="dxa"/>
              <w:right w:w="108" w:type="dxa"/>
            </w:tcMar>
          </w:tcPr>
          <w:p w14:paraId="4FCED784" w14:textId="66508722" w:rsidR="0037117A" w:rsidRPr="00E733E0" w:rsidRDefault="00174AFA" w:rsidP="008206D4">
            <w:pPr>
              <w:pStyle w:val="TableRow"/>
              <w:rPr>
                <w:sz w:val="22"/>
                <w:szCs w:val="22"/>
              </w:rPr>
            </w:pPr>
            <w:r>
              <w:rPr>
                <w:sz w:val="22"/>
                <w:szCs w:val="22"/>
              </w:rPr>
              <w:t xml:space="preserve">Not enough staff to complete </w:t>
            </w:r>
            <w:r w:rsidR="00915FB4">
              <w:rPr>
                <w:sz w:val="22"/>
                <w:szCs w:val="22"/>
              </w:rPr>
              <w:t xml:space="preserve">after school </w:t>
            </w:r>
            <w:r w:rsidR="009C3571">
              <w:rPr>
                <w:sz w:val="22"/>
                <w:szCs w:val="22"/>
              </w:rPr>
              <w:t>tutoring or booster groups.</w:t>
            </w:r>
          </w:p>
        </w:tc>
        <w:tc>
          <w:tcPr>
            <w:tcW w:w="2694" w:type="dxa"/>
            <w:shd w:val="clear" w:color="auto" w:fill="auto"/>
            <w:tcMar>
              <w:top w:w="0" w:type="dxa"/>
              <w:left w:w="108" w:type="dxa"/>
              <w:bottom w:w="0" w:type="dxa"/>
              <w:right w:w="108" w:type="dxa"/>
            </w:tcMar>
          </w:tcPr>
          <w:p w14:paraId="4D2ECE8D" w14:textId="71A0EAFC" w:rsidR="0037117A" w:rsidRPr="00E733E0" w:rsidRDefault="009C3571" w:rsidP="008206D4">
            <w:pPr>
              <w:pStyle w:val="TableRow"/>
              <w:rPr>
                <w:sz w:val="22"/>
                <w:szCs w:val="22"/>
              </w:rPr>
            </w:pPr>
            <w:r>
              <w:rPr>
                <w:sz w:val="22"/>
                <w:szCs w:val="22"/>
              </w:rPr>
              <w:t>Possible conta</w:t>
            </w:r>
            <w:r w:rsidR="00E30176">
              <w:rPr>
                <w:sz w:val="22"/>
                <w:szCs w:val="22"/>
              </w:rPr>
              <w:t>ct with retired staff, use of SC</w:t>
            </w:r>
            <w:r>
              <w:rPr>
                <w:sz w:val="22"/>
                <w:szCs w:val="22"/>
              </w:rPr>
              <w:t>ITT students.</w:t>
            </w:r>
          </w:p>
        </w:tc>
      </w:tr>
      <w:tr w:rsidR="0037117A" w14:paraId="07EBC1C5" w14:textId="77777777" w:rsidTr="00AC16A7">
        <w:tc>
          <w:tcPr>
            <w:tcW w:w="1980" w:type="dxa"/>
            <w:shd w:val="clear" w:color="auto" w:fill="auto"/>
            <w:tcMar>
              <w:top w:w="0" w:type="dxa"/>
              <w:left w:w="108" w:type="dxa"/>
              <w:bottom w:w="0" w:type="dxa"/>
              <w:right w:w="108" w:type="dxa"/>
            </w:tcMar>
            <w:vAlign w:val="center"/>
          </w:tcPr>
          <w:p w14:paraId="6213FF72" w14:textId="77777777" w:rsidR="0037117A" w:rsidRDefault="0016423A" w:rsidP="008206D4">
            <w:pPr>
              <w:pStyle w:val="TableRow"/>
              <w:ind w:left="0"/>
              <w:rPr>
                <w:rFonts w:cs="Calibri"/>
                <w:b/>
                <w:bCs/>
                <w:sz w:val="22"/>
                <w:szCs w:val="22"/>
              </w:rPr>
            </w:pPr>
            <w:r w:rsidRPr="0016423A">
              <w:rPr>
                <w:rFonts w:cs="Calibri"/>
                <w:b/>
                <w:bCs/>
                <w:sz w:val="22"/>
                <w:szCs w:val="22"/>
              </w:rPr>
              <w:t>Priority 1, 2, 3, 4</w:t>
            </w:r>
          </w:p>
          <w:p w14:paraId="6CF372F2" w14:textId="77777777" w:rsidR="00664417" w:rsidRDefault="00664417" w:rsidP="008206D4">
            <w:pPr>
              <w:pStyle w:val="TableRow"/>
              <w:ind w:left="0"/>
              <w:rPr>
                <w:rFonts w:cs="Calibri"/>
                <w:b/>
                <w:bCs/>
                <w:sz w:val="22"/>
                <w:szCs w:val="22"/>
              </w:rPr>
            </w:pPr>
          </w:p>
          <w:p w14:paraId="5A8DAF59" w14:textId="343B95ED" w:rsidR="00664417" w:rsidRPr="0016423A" w:rsidRDefault="00664417" w:rsidP="008206D4">
            <w:pPr>
              <w:pStyle w:val="TableRow"/>
              <w:ind w:left="0"/>
              <w:rPr>
                <w:rFonts w:cs="Calibri"/>
                <w:b/>
                <w:bCs/>
                <w:sz w:val="22"/>
                <w:szCs w:val="22"/>
              </w:rPr>
            </w:pPr>
          </w:p>
        </w:tc>
        <w:tc>
          <w:tcPr>
            <w:tcW w:w="4819" w:type="dxa"/>
            <w:shd w:val="clear" w:color="auto" w:fill="auto"/>
            <w:tcMar>
              <w:top w:w="0" w:type="dxa"/>
              <w:left w:w="108" w:type="dxa"/>
              <w:bottom w:w="0" w:type="dxa"/>
              <w:right w:w="108" w:type="dxa"/>
            </w:tcMar>
          </w:tcPr>
          <w:p w14:paraId="088CC3A0" w14:textId="57C4793A" w:rsidR="0037117A" w:rsidRPr="00E733E0" w:rsidRDefault="0016423A" w:rsidP="008206D4">
            <w:pPr>
              <w:pStyle w:val="TableRow"/>
              <w:rPr>
                <w:sz w:val="22"/>
                <w:szCs w:val="22"/>
              </w:rPr>
            </w:pPr>
            <w:r>
              <w:rPr>
                <w:sz w:val="22"/>
                <w:szCs w:val="22"/>
              </w:rPr>
              <w:t xml:space="preserve">Families lacking in digital technology </w:t>
            </w:r>
            <w:r w:rsidR="00664417">
              <w:rPr>
                <w:sz w:val="22"/>
                <w:szCs w:val="22"/>
              </w:rPr>
              <w:t>to support catch up plan when in lockdown or isolation.</w:t>
            </w:r>
          </w:p>
        </w:tc>
        <w:tc>
          <w:tcPr>
            <w:tcW w:w="2694" w:type="dxa"/>
            <w:shd w:val="clear" w:color="auto" w:fill="auto"/>
            <w:tcMar>
              <w:top w:w="0" w:type="dxa"/>
              <w:left w:w="108" w:type="dxa"/>
              <w:bottom w:w="0" w:type="dxa"/>
              <w:right w:w="108" w:type="dxa"/>
            </w:tcMar>
          </w:tcPr>
          <w:p w14:paraId="1B397FE2" w14:textId="1AB34187" w:rsidR="0037117A" w:rsidRPr="00E733E0" w:rsidRDefault="004231E8" w:rsidP="008206D4">
            <w:pPr>
              <w:pStyle w:val="TableRow"/>
              <w:rPr>
                <w:sz w:val="22"/>
                <w:szCs w:val="22"/>
              </w:rPr>
            </w:pPr>
            <w:r>
              <w:rPr>
                <w:sz w:val="22"/>
                <w:szCs w:val="22"/>
              </w:rPr>
              <w:t>See Digital Strategy and policy for handing out school laptops on lone bases</w:t>
            </w:r>
            <w:r w:rsidR="00B55246">
              <w:rPr>
                <w:sz w:val="22"/>
                <w:szCs w:val="22"/>
              </w:rPr>
              <w:t>.</w:t>
            </w:r>
          </w:p>
        </w:tc>
      </w:tr>
    </w:tbl>
    <w:p w14:paraId="7A754CAC" w14:textId="77777777" w:rsidR="0037117A" w:rsidRDefault="0037117A" w:rsidP="007A7DF0"/>
    <w:p w14:paraId="047F21B2" w14:textId="2B40CFB0" w:rsidR="00CC591D" w:rsidRDefault="00CC591D" w:rsidP="0037117A">
      <w:pPr>
        <w:rPr>
          <w:rFonts w:ascii="Arial" w:hAnsi="Arial" w:cs="Arial"/>
          <w:b/>
          <w:color w:val="A14F8C"/>
        </w:rPr>
      </w:pPr>
    </w:p>
    <w:p w14:paraId="010B65D6" w14:textId="671750AE" w:rsidR="0037117A" w:rsidRPr="0037117A" w:rsidRDefault="0037117A" w:rsidP="0037117A">
      <w:pPr>
        <w:rPr>
          <w:rFonts w:ascii="Arial" w:hAnsi="Arial" w:cs="Arial"/>
          <w:b/>
          <w:color w:val="A14F8C"/>
        </w:rPr>
      </w:pPr>
      <w:r w:rsidRPr="0037117A">
        <w:rPr>
          <w:rFonts w:ascii="Arial" w:hAnsi="Arial" w:cs="Arial"/>
          <w:b/>
          <w:color w:val="A14F8C"/>
        </w:rPr>
        <w:t xml:space="preserve">REVIEW: </w:t>
      </w:r>
      <w:r w:rsidR="00604EFD">
        <w:rPr>
          <w:rFonts w:ascii="Arial" w:hAnsi="Arial" w:cs="Arial"/>
          <w:b/>
          <w:color w:val="A14F8C"/>
        </w:rPr>
        <w:t>END OF YEAR REVIEW OF IMPACT</w:t>
      </w:r>
    </w:p>
    <w:p w14:paraId="2D4E8641" w14:textId="77777777" w:rsidR="0037117A" w:rsidRDefault="0037117A" w:rsidP="007A7DF0"/>
    <w:tbl>
      <w:tblPr>
        <w:tblW w:w="948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0" w:type="dxa"/>
          <w:right w:w="10" w:type="dxa"/>
        </w:tblCellMar>
        <w:tblLook w:val="04A0" w:firstRow="1" w:lastRow="0" w:firstColumn="1" w:lastColumn="0" w:noHBand="0" w:noVBand="1"/>
      </w:tblPr>
      <w:tblGrid>
        <w:gridCol w:w="4743"/>
        <w:gridCol w:w="4743"/>
      </w:tblGrid>
      <w:tr w:rsidR="0037117A" w14:paraId="58BD9245" w14:textId="77777777" w:rsidTr="00FA0738">
        <w:tc>
          <w:tcPr>
            <w:tcW w:w="4743" w:type="dxa"/>
            <w:shd w:val="clear" w:color="auto" w:fill="auto"/>
            <w:tcMar>
              <w:top w:w="0" w:type="dxa"/>
              <w:left w:w="108" w:type="dxa"/>
              <w:bottom w:w="0" w:type="dxa"/>
              <w:right w:w="108" w:type="dxa"/>
            </w:tcMar>
          </w:tcPr>
          <w:p w14:paraId="38813858" w14:textId="77777777" w:rsidR="0037117A" w:rsidRDefault="0037117A" w:rsidP="008206D4">
            <w:pPr>
              <w:pStyle w:val="TableRow"/>
              <w:rPr>
                <w:b/>
                <w:sz w:val="22"/>
                <w:szCs w:val="22"/>
              </w:rPr>
            </w:pPr>
            <w:r>
              <w:rPr>
                <w:b/>
                <w:sz w:val="22"/>
                <w:szCs w:val="22"/>
              </w:rPr>
              <w:t>Aim</w:t>
            </w:r>
          </w:p>
        </w:tc>
        <w:tc>
          <w:tcPr>
            <w:tcW w:w="4743" w:type="dxa"/>
            <w:shd w:val="clear" w:color="auto" w:fill="auto"/>
            <w:tcMar>
              <w:top w:w="0" w:type="dxa"/>
              <w:left w:w="108" w:type="dxa"/>
              <w:bottom w:w="0" w:type="dxa"/>
              <w:right w:w="108" w:type="dxa"/>
            </w:tcMar>
          </w:tcPr>
          <w:p w14:paraId="505B46F2" w14:textId="77777777" w:rsidR="0037117A" w:rsidRDefault="0037117A" w:rsidP="008206D4">
            <w:pPr>
              <w:pStyle w:val="TableRow"/>
              <w:rPr>
                <w:b/>
                <w:sz w:val="22"/>
                <w:szCs w:val="22"/>
              </w:rPr>
            </w:pPr>
            <w:r>
              <w:rPr>
                <w:b/>
                <w:sz w:val="22"/>
                <w:szCs w:val="22"/>
              </w:rPr>
              <w:t>Outcome</w:t>
            </w:r>
          </w:p>
        </w:tc>
      </w:tr>
      <w:tr w:rsidR="0037117A" w14:paraId="02120004" w14:textId="77777777" w:rsidTr="00FA0738">
        <w:tc>
          <w:tcPr>
            <w:tcW w:w="4743" w:type="dxa"/>
            <w:shd w:val="clear" w:color="auto" w:fill="auto"/>
            <w:tcMar>
              <w:top w:w="0" w:type="dxa"/>
              <w:left w:w="108" w:type="dxa"/>
              <w:bottom w:w="0" w:type="dxa"/>
              <w:right w:w="108" w:type="dxa"/>
            </w:tcMar>
          </w:tcPr>
          <w:p w14:paraId="6B797306" w14:textId="7FF452E3" w:rsidR="0037117A" w:rsidRDefault="00E30176" w:rsidP="008206D4">
            <w:pPr>
              <w:pStyle w:val="TableRow"/>
            </w:pPr>
            <w:r>
              <w:t>High quality support and challenge for most vulnerable pupils (approx. 76-80 pupils identified on register e.g. SW, CIN, EHCP, LAC, CP etc</w:t>
            </w:r>
            <w:r w:rsidR="00E9346D">
              <w:t>.</w:t>
            </w:r>
            <w:r>
              <w:t>)</w:t>
            </w:r>
          </w:p>
          <w:p w14:paraId="7BA15188" w14:textId="15BCCFCE" w:rsidR="00E30176" w:rsidRDefault="00E30176" w:rsidP="008206D4">
            <w:pPr>
              <w:pStyle w:val="TableRow"/>
            </w:pPr>
            <w:r>
              <w:t xml:space="preserve">All children feel happy, safe and progressing well in all aspects of school life. </w:t>
            </w:r>
          </w:p>
        </w:tc>
        <w:tc>
          <w:tcPr>
            <w:tcW w:w="4743" w:type="dxa"/>
            <w:shd w:val="clear" w:color="auto" w:fill="auto"/>
            <w:tcMar>
              <w:top w:w="0" w:type="dxa"/>
              <w:left w:w="108" w:type="dxa"/>
              <w:bottom w:w="0" w:type="dxa"/>
              <w:right w:w="108" w:type="dxa"/>
            </w:tcMar>
          </w:tcPr>
          <w:p w14:paraId="577F6D2F" w14:textId="77777777" w:rsidR="0037117A" w:rsidRDefault="00E30176" w:rsidP="00E30176">
            <w:pPr>
              <w:pStyle w:val="TableRow"/>
              <w:ind w:left="0"/>
            </w:pPr>
            <w:r w:rsidRPr="00E30176">
              <w:t>Attendance of pupils is close to national average of 95%</w:t>
            </w:r>
          </w:p>
          <w:p w14:paraId="76C1C0E5" w14:textId="3A81C83F" w:rsidR="00E30176" w:rsidRDefault="00E30176" w:rsidP="00E30176">
            <w:pPr>
              <w:pStyle w:val="TableRow"/>
              <w:ind w:left="0"/>
            </w:pPr>
            <w:r>
              <w:t xml:space="preserve">No exclusions </w:t>
            </w:r>
          </w:p>
        </w:tc>
      </w:tr>
      <w:tr w:rsidR="00E30176" w14:paraId="017B4C6B" w14:textId="77777777" w:rsidTr="00FA0738">
        <w:tc>
          <w:tcPr>
            <w:tcW w:w="4743" w:type="dxa"/>
            <w:shd w:val="clear" w:color="auto" w:fill="auto"/>
            <w:tcMar>
              <w:top w:w="0" w:type="dxa"/>
              <w:left w:w="108" w:type="dxa"/>
              <w:bottom w:w="0" w:type="dxa"/>
              <w:right w:w="108" w:type="dxa"/>
            </w:tcMar>
          </w:tcPr>
          <w:p w14:paraId="07973F72" w14:textId="0979891E" w:rsidR="00E30176" w:rsidRDefault="00E30176" w:rsidP="00E30176">
            <w:pPr>
              <w:pStyle w:val="TableRow"/>
            </w:pPr>
            <w:r>
              <w:t>All pupils making at least good progress in all core subject areas</w:t>
            </w:r>
          </w:p>
        </w:tc>
        <w:tc>
          <w:tcPr>
            <w:tcW w:w="4743" w:type="dxa"/>
            <w:shd w:val="clear" w:color="auto" w:fill="auto"/>
            <w:tcMar>
              <w:top w:w="0" w:type="dxa"/>
              <w:left w:w="108" w:type="dxa"/>
              <w:bottom w:w="0" w:type="dxa"/>
              <w:right w:w="108" w:type="dxa"/>
            </w:tcMar>
          </w:tcPr>
          <w:p w14:paraId="1771CD5C" w14:textId="77777777" w:rsidR="00E30176" w:rsidRDefault="00E30176" w:rsidP="00E30176">
            <w:pPr>
              <w:pStyle w:val="TableRow"/>
              <w:numPr>
                <w:ilvl w:val="0"/>
                <w:numId w:val="12"/>
              </w:numPr>
            </w:pPr>
            <w:r>
              <w:t>Phonics screening test outcomes closer to national average in year 1 &amp; year 2</w:t>
            </w:r>
          </w:p>
          <w:p w14:paraId="114138A4" w14:textId="77777777" w:rsidR="00E30176" w:rsidRDefault="00E30176" w:rsidP="00E30176">
            <w:pPr>
              <w:pStyle w:val="TableRow"/>
              <w:numPr>
                <w:ilvl w:val="0"/>
                <w:numId w:val="12"/>
              </w:numPr>
            </w:pPr>
            <w:r>
              <w:t>End of KS outcomes are close to FFT predictions in reading, writing and maths.</w:t>
            </w:r>
          </w:p>
          <w:p w14:paraId="5069AF6A" w14:textId="6ED9F6D8" w:rsidR="00AE1657" w:rsidRPr="00AE1657" w:rsidRDefault="00AE1657" w:rsidP="00AE1657">
            <w:pPr>
              <w:pStyle w:val="TableRow"/>
              <w:ind w:left="0"/>
              <w:rPr>
                <w:color w:val="0070C0"/>
              </w:rPr>
            </w:pPr>
            <w:r>
              <w:rPr>
                <w:color w:val="0070C0"/>
              </w:rPr>
              <w:t xml:space="preserve">Due to </w:t>
            </w:r>
            <w:proofErr w:type="gramStart"/>
            <w:r>
              <w:rPr>
                <w:color w:val="0070C0"/>
              </w:rPr>
              <w:t>lockdown</w:t>
            </w:r>
            <w:proofErr w:type="gramEnd"/>
            <w:r>
              <w:rPr>
                <w:color w:val="0070C0"/>
              </w:rPr>
              <w:t xml:space="preserve"> we can’t evaluate outcomes against these statements. </w:t>
            </w:r>
          </w:p>
        </w:tc>
      </w:tr>
    </w:tbl>
    <w:p w14:paraId="0FB6090F" w14:textId="22C1877F" w:rsidR="0037117A" w:rsidRDefault="0037117A" w:rsidP="007A7DF0"/>
    <w:sectPr w:rsidR="0037117A" w:rsidSect="009E0420">
      <w:headerReference w:type="even" r:id="rId17"/>
      <w:headerReference w:type="default" r:id="rId18"/>
      <w:footerReference w:type="default" r:id="rId19"/>
      <w:headerReference w:type="first" r:id="rId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BD746" w14:textId="77777777" w:rsidR="00E15E10" w:rsidRDefault="00E15E10" w:rsidP="00931E5B">
      <w:r>
        <w:separator/>
      </w:r>
    </w:p>
  </w:endnote>
  <w:endnote w:type="continuationSeparator" w:id="0">
    <w:p w14:paraId="76D76E86" w14:textId="77777777" w:rsidR="00E15E10" w:rsidRDefault="00E15E10" w:rsidP="0093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F7C2A" w14:textId="77777777" w:rsidR="00FD0704" w:rsidRDefault="00FD0704">
    <w:pPr>
      <w:pStyle w:val="Footer"/>
    </w:pPr>
    <w:r w:rsidRPr="00FD0704">
      <w:rPr>
        <w:noProof/>
        <w:lang w:eastAsia="en-GB"/>
      </w:rPr>
      <w:drawing>
        <wp:inline distT="0" distB="0" distL="0" distR="0" wp14:anchorId="7BB9FDD7" wp14:editId="294C2834">
          <wp:extent cx="5731510" cy="253959"/>
          <wp:effectExtent l="0" t="0" r="0" b="0"/>
          <wp:docPr id="2" name="Picture 2" descr="S:\Private\Academies\Marketing\Branding packs\EXAMPLE BRAND PACK - purple\Logos and marques\CAT_part_of_brand_RGB_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vate\Academies\Marketing\Branding packs\EXAMPLE BRAND PACK - purple\Logos and marques\CAT_part_of_brand_RGB_Purp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5395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C2A5F" w14:textId="77777777" w:rsidR="00E15E10" w:rsidRDefault="00E15E10" w:rsidP="00931E5B">
      <w:r>
        <w:separator/>
      </w:r>
    </w:p>
  </w:footnote>
  <w:footnote w:type="continuationSeparator" w:id="0">
    <w:p w14:paraId="296D921F" w14:textId="77777777" w:rsidR="00E15E10" w:rsidRDefault="00E15E10" w:rsidP="00931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92008" w14:textId="77777777" w:rsidR="00A07D42" w:rsidRDefault="006A3C4F">
    <w:pPr>
      <w:pStyle w:val="Header"/>
    </w:pPr>
    <w:r>
      <w:rPr>
        <w:noProof/>
        <w:lang w:eastAsia="en-GB"/>
      </w:rPr>
      <w:pict w14:anchorId="19DE9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966407" o:spid="_x0000_s2050" type="#_x0000_t75" style="position:absolute;margin-left:0;margin-top:0;width:451pt;height:194.3pt;z-index:-251657216;mso-position-horizontal:center;mso-position-horizontal-relative:margin;mso-position-vertical:center;mso-position-vertical-relative:margin" o:allowincell="f">
          <v:imagedata r:id="rId1" o:title="chi uni cat trust blac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50CA6" w14:textId="77777777" w:rsidR="0037117A" w:rsidRDefault="0037117A">
    <w:pPr>
      <w:pStyle w:val="Header"/>
    </w:pPr>
    <w:r w:rsidRPr="007A4200">
      <w:rPr>
        <w:noProof/>
        <w:lang w:eastAsia="en-GB"/>
      </w:rPr>
      <w:drawing>
        <wp:inline distT="0" distB="0" distL="0" distR="0" wp14:anchorId="3FCC4B7C" wp14:editId="1B78B2FC">
          <wp:extent cx="1368059" cy="600501"/>
          <wp:effectExtent l="0" t="0" r="3810" b="9525"/>
          <wp:docPr id="1" name="Picture 1" descr="S:\Private\Academies\Marketing\Logos\University of Chichester Academy Trust\JPEG\chi uni cat trust purp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vate\Academies\Marketing\Logos\University of Chichester Academy Trust\JPEG\chi uni cat trust purpl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827" cy="6188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9DC33" w14:textId="77777777" w:rsidR="00A07D42" w:rsidRDefault="006A3C4F">
    <w:pPr>
      <w:pStyle w:val="Header"/>
    </w:pPr>
    <w:r>
      <w:rPr>
        <w:noProof/>
        <w:lang w:eastAsia="en-GB"/>
      </w:rPr>
      <w:pict w14:anchorId="26C18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966406" o:spid="_x0000_s2049" type="#_x0000_t75" style="position:absolute;margin-left:0;margin-top:0;width:451pt;height:194.3pt;z-index:-251658240;mso-position-horizontal:center;mso-position-horizontal-relative:margin;mso-position-vertical:center;mso-position-vertical-relative:margin" o:allowincell="f">
          <v:imagedata r:id="rId1" o:title="chi uni cat trust black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6992"/>
    <w:multiLevelType w:val="hybridMultilevel"/>
    <w:tmpl w:val="4204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23A87"/>
    <w:multiLevelType w:val="hybridMultilevel"/>
    <w:tmpl w:val="83CE19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871612"/>
    <w:multiLevelType w:val="hybridMultilevel"/>
    <w:tmpl w:val="E06A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F4882"/>
    <w:multiLevelType w:val="hybridMultilevel"/>
    <w:tmpl w:val="E2C07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58676F"/>
    <w:multiLevelType w:val="hybridMultilevel"/>
    <w:tmpl w:val="7D523434"/>
    <w:lvl w:ilvl="0" w:tplc="36D4C96A">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28FA3A98"/>
    <w:multiLevelType w:val="hybridMultilevel"/>
    <w:tmpl w:val="2B04C1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73B9E"/>
    <w:multiLevelType w:val="hybridMultilevel"/>
    <w:tmpl w:val="D59A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23451"/>
    <w:multiLevelType w:val="hybridMultilevel"/>
    <w:tmpl w:val="A1F0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C50AD"/>
    <w:multiLevelType w:val="hybridMultilevel"/>
    <w:tmpl w:val="22BE5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600506"/>
    <w:multiLevelType w:val="multilevel"/>
    <w:tmpl w:val="E9B2E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5E1FFD"/>
    <w:multiLevelType w:val="hybridMultilevel"/>
    <w:tmpl w:val="C07C0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7B6C32"/>
    <w:multiLevelType w:val="hybridMultilevel"/>
    <w:tmpl w:val="24C28DE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5194527E"/>
    <w:multiLevelType w:val="hybridMultilevel"/>
    <w:tmpl w:val="33C209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58259D"/>
    <w:multiLevelType w:val="hybridMultilevel"/>
    <w:tmpl w:val="422AC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F4090D"/>
    <w:multiLevelType w:val="hybridMultilevel"/>
    <w:tmpl w:val="E86E7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552611"/>
    <w:multiLevelType w:val="hybridMultilevel"/>
    <w:tmpl w:val="0C9C0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8A6C61"/>
    <w:multiLevelType w:val="hybridMultilevel"/>
    <w:tmpl w:val="37ECCA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15101"/>
    <w:multiLevelType w:val="hybridMultilevel"/>
    <w:tmpl w:val="C0E0F072"/>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F6545F6"/>
    <w:multiLevelType w:val="hybridMultilevel"/>
    <w:tmpl w:val="5E126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FB7DE9"/>
    <w:multiLevelType w:val="hybridMultilevel"/>
    <w:tmpl w:val="4B429868"/>
    <w:lvl w:ilvl="0" w:tplc="A964EC64">
      <w:start w:val="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00DDD"/>
    <w:multiLevelType w:val="hybridMultilevel"/>
    <w:tmpl w:val="0F3020C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1" w15:restartNumberingAfterBreak="0">
    <w:nsid w:val="7C424E6D"/>
    <w:multiLevelType w:val="hybridMultilevel"/>
    <w:tmpl w:val="DE24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D72F1"/>
    <w:multiLevelType w:val="hybridMultilevel"/>
    <w:tmpl w:val="A9F6D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7846EC"/>
    <w:multiLevelType w:val="hybridMultilevel"/>
    <w:tmpl w:val="01EE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D10747"/>
    <w:multiLevelType w:val="hybridMultilevel"/>
    <w:tmpl w:val="C3C618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3"/>
  </w:num>
  <w:num w:numId="4">
    <w:abstractNumId w:val="14"/>
  </w:num>
  <w:num w:numId="5">
    <w:abstractNumId w:val="12"/>
  </w:num>
  <w:num w:numId="6">
    <w:abstractNumId w:val="9"/>
  </w:num>
  <w:num w:numId="7">
    <w:abstractNumId w:val="16"/>
  </w:num>
  <w:num w:numId="8">
    <w:abstractNumId w:val="17"/>
  </w:num>
  <w:num w:numId="9">
    <w:abstractNumId w:val="5"/>
  </w:num>
  <w:num w:numId="10">
    <w:abstractNumId w:val="7"/>
  </w:num>
  <w:num w:numId="11">
    <w:abstractNumId w:val="0"/>
  </w:num>
  <w:num w:numId="12">
    <w:abstractNumId w:val="10"/>
  </w:num>
  <w:num w:numId="13">
    <w:abstractNumId w:val="4"/>
  </w:num>
  <w:num w:numId="14">
    <w:abstractNumId w:val="8"/>
  </w:num>
  <w:num w:numId="15">
    <w:abstractNumId w:val="22"/>
  </w:num>
  <w:num w:numId="16">
    <w:abstractNumId w:val="1"/>
  </w:num>
  <w:num w:numId="17">
    <w:abstractNumId w:val="23"/>
  </w:num>
  <w:num w:numId="18">
    <w:abstractNumId w:val="24"/>
  </w:num>
  <w:num w:numId="19">
    <w:abstractNumId w:val="21"/>
  </w:num>
  <w:num w:numId="20">
    <w:abstractNumId w:val="20"/>
  </w:num>
  <w:num w:numId="21">
    <w:abstractNumId w:val="11"/>
  </w:num>
  <w:num w:numId="22">
    <w:abstractNumId w:val="18"/>
  </w:num>
  <w:num w:numId="23">
    <w:abstractNumId w:val="3"/>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5B"/>
    <w:rsid w:val="0000367C"/>
    <w:rsid w:val="00025ACF"/>
    <w:rsid w:val="00027FAA"/>
    <w:rsid w:val="000C1BE6"/>
    <w:rsid w:val="00163A84"/>
    <w:rsid w:val="0016423A"/>
    <w:rsid w:val="00174AFA"/>
    <w:rsid w:val="00184F2B"/>
    <w:rsid w:val="001D05E6"/>
    <w:rsid w:val="001E253F"/>
    <w:rsid w:val="001E6428"/>
    <w:rsid w:val="0020201B"/>
    <w:rsid w:val="00214AFE"/>
    <w:rsid w:val="00247B3B"/>
    <w:rsid w:val="002A3947"/>
    <w:rsid w:val="002B0412"/>
    <w:rsid w:val="002B2BBF"/>
    <w:rsid w:val="002B2F99"/>
    <w:rsid w:val="002B3B47"/>
    <w:rsid w:val="002D780D"/>
    <w:rsid w:val="002E2D73"/>
    <w:rsid w:val="002F02AE"/>
    <w:rsid w:val="002F708F"/>
    <w:rsid w:val="00355312"/>
    <w:rsid w:val="00364D08"/>
    <w:rsid w:val="00370FE1"/>
    <w:rsid w:val="0037117A"/>
    <w:rsid w:val="0039474B"/>
    <w:rsid w:val="003B2F0C"/>
    <w:rsid w:val="003E3DBF"/>
    <w:rsid w:val="0041053F"/>
    <w:rsid w:val="004231E8"/>
    <w:rsid w:val="00444AB2"/>
    <w:rsid w:val="0046221A"/>
    <w:rsid w:val="00483C05"/>
    <w:rsid w:val="004C0305"/>
    <w:rsid w:val="004C148C"/>
    <w:rsid w:val="004C29FA"/>
    <w:rsid w:val="0050204C"/>
    <w:rsid w:val="00543161"/>
    <w:rsid w:val="0054668E"/>
    <w:rsid w:val="00581E88"/>
    <w:rsid w:val="00586BB3"/>
    <w:rsid w:val="005B3F62"/>
    <w:rsid w:val="005B5EAB"/>
    <w:rsid w:val="005C5241"/>
    <w:rsid w:val="005F2ABC"/>
    <w:rsid w:val="00604EFD"/>
    <w:rsid w:val="0061453E"/>
    <w:rsid w:val="00614D55"/>
    <w:rsid w:val="0065676C"/>
    <w:rsid w:val="00664417"/>
    <w:rsid w:val="006850D7"/>
    <w:rsid w:val="006903FF"/>
    <w:rsid w:val="006A3C4F"/>
    <w:rsid w:val="006D1891"/>
    <w:rsid w:val="00711D72"/>
    <w:rsid w:val="00720650"/>
    <w:rsid w:val="0074625B"/>
    <w:rsid w:val="00766036"/>
    <w:rsid w:val="00785D36"/>
    <w:rsid w:val="007A2D87"/>
    <w:rsid w:val="007A7DF0"/>
    <w:rsid w:val="007F6574"/>
    <w:rsid w:val="00811CDC"/>
    <w:rsid w:val="00820F8C"/>
    <w:rsid w:val="00861BC1"/>
    <w:rsid w:val="00876B11"/>
    <w:rsid w:val="008779A0"/>
    <w:rsid w:val="00893ACF"/>
    <w:rsid w:val="00897324"/>
    <w:rsid w:val="008A0E9D"/>
    <w:rsid w:val="008C1794"/>
    <w:rsid w:val="008C2273"/>
    <w:rsid w:val="008C65B6"/>
    <w:rsid w:val="008D0D0E"/>
    <w:rsid w:val="008D23C8"/>
    <w:rsid w:val="00906CAE"/>
    <w:rsid w:val="00915FB4"/>
    <w:rsid w:val="00931E5B"/>
    <w:rsid w:val="00965A0C"/>
    <w:rsid w:val="00987163"/>
    <w:rsid w:val="0099769D"/>
    <w:rsid w:val="009A0D3A"/>
    <w:rsid w:val="009C3571"/>
    <w:rsid w:val="009E0420"/>
    <w:rsid w:val="00A0442B"/>
    <w:rsid w:val="00A07D42"/>
    <w:rsid w:val="00A22B32"/>
    <w:rsid w:val="00A26C48"/>
    <w:rsid w:val="00A34054"/>
    <w:rsid w:val="00A80B79"/>
    <w:rsid w:val="00A90909"/>
    <w:rsid w:val="00A9706B"/>
    <w:rsid w:val="00AB199E"/>
    <w:rsid w:val="00AC16A7"/>
    <w:rsid w:val="00AD1FE3"/>
    <w:rsid w:val="00AE1657"/>
    <w:rsid w:val="00AF0929"/>
    <w:rsid w:val="00B02D83"/>
    <w:rsid w:val="00B26E4A"/>
    <w:rsid w:val="00B36D21"/>
    <w:rsid w:val="00B55246"/>
    <w:rsid w:val="00B66C4E"/>
    <w:rsid w:val="00BA3054"/>
    <w:rsid w:val="00BC3753"/>
    <w:rsid w:val="00BE41D9"/>
    <w:rsid w:val="00BF3040"/>
    <w:rsid w:val="00BF52E0"/>
    <w:rsid w:val="00C1380A"/>
    <w:rsid w:val="00C17EDA"/>
    <w:rsid w:val="00C5140B"/>
    <w:rsid w:val="00C55758"/>
    <w:rsid w:val="00C60122"/>
    <w:rsid w:val="00C66ED3"/>
    <w:rsid w:val="00CA595D"/>
    <w:rsid w:val="00CC04AA"/>
    <w:rsid w:val="00CC3DA8"/>
    <w:rsid w:val="00CC591D"/>
    <w:rsid w:val="00CD041C"/>
    <w:rsid w:val="00CD534E"/>
    <w:rsid w:val="00CF2D6F"/>
    <w:rsid w:val="00D137F0"/>
    <w:rsid w:val="00D37593"/>
    <w:rsid w:val="00D566FF"/>
    <w:rsid w:val="00D74A99"/>
    <w:rsid w:val="00D83C22"/>
    <w:rsid w:val="00D87E49"/>
    <w:rsid w:val="00DA4600"/>
    <w:rsid w:val="00E15E10"/>
    <w:rsid w:val="00E30176"/>
    <w:rsid w:val="00E4038D"/>
    <w:rsid w:val="00E733E0"/>
    <w:rsid w:val="00E77402"/>
    <w:rsid w:val="00E90D7F"/>
    <w:rsid w:val="00E9346D"/>
    <w:rsid w:val="00EC6B06"/>
    <w:rsid w:val="00EE3766"/>
    <w:rsid w:val="00F349B7"/>
    <w:rsid w:val="00F37D40"/>
    <w:rsid w:val="00F65D5C"/>
    <w:rsid w:val="00F953E3"/>
    <w:rsid w:val="00FA0738"/>
    <w:rsid w:val="00FC5A83"/>
    <w:rsid w:val="00FD0704"/>
    <w:rsid w:val="00FD215E"/>
    <w:rsid w:val="00FE5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EB8E38"/>
  <w15:chartTrackingRefBased/>
  <w15:docId w15:val="{0E7C6E17-E93A-4888-9411-F647A87D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E5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1E5B"/>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1E5B"/>
    <w:pPr>
      <w:tabs>
        <w:tab w:val="center" w:pos="4513"/>
        <w:tab w:val="right" w:pos="9026"/>
      </w:tabs>
    </w:pPr>
  </w:style>
  <w:style w:type="character" w:customStyle="1" w:styleId="HeaderChar">
    <w:name w:val="Header Char"/>
    <w:basedOn w:val="DefaultParagraphFont"/>
    <w:link w:val="Header"/>
    <w:uiPriority w:val="99"/>
    <w:rsid w:val="00931E5B"/>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931E5B"/>
    <w:pPr>
      <w:tabs>
        <w:tab w:val="center" w:pos="4513"/>
        <w:tab w:val="right" w:pos="9026"/>
      </w:tabs>
    </w:pPr>
  </w:style>
  <w:style w:type="character" w:customStyle="1" w:styleId="FooterChar">
    <w:name w:val="Footer Char"/>
    <w:basedOn w:val="DefaultParagraphFont"/>
    <w:link w:val="Footer"/>
    <w:uiPriority w:val="99"/>
    <w:rsid w:val="00931E5B"/>
    <w:rPr>
      <w:rFonts w:ascii="Times New Roman" w:eastAsia="SimSun" w:hAnsi="Times New Roman" w:cs="Times New Roman"/>
      <w:sz w:val="24"/>
      <w:szCs w:val="24"/>
      <w:lang w:eastAsia="zh-CN"/>
    </w:rPr>
  </w:style>
  <w:style w:type="paragraph" w:styleId="ListParagraph">
    <w:name w:val="List Paragraph"/>
    <w:basedOn w:val="Normal"/>
    <w:uiPriority w:val="34"/>
    <w:qFormat/>
    <w:rsid w:val="00A07D42"/>
    <w:pPr>
      <w:ind w:left="720"/>
      <w:contextualSpacing/>
    </w:pPr>
  </w:style>
  <w:style w:type="character" w:styleId="Hyperlink">
    <w:name w:val="Hyperlink"/>
    <w:basedOn w:val="DefaultParagraphFont"/>
    <w:uiPriority w:val="99"/>
    <w:unhideWhenUsed/>
    <w:rsid w:val="00785D36"/>
    <w:rPr>
      <w:color w:val="0563C1" w:themeColor="hyperlink"/>
      <w:u w:val="single"/>
    </w:rPr>
  </w:style>
  <w:style w:type="paragraph" w:styleId="NormalWeb">
    <w:name w:val="Normal (Web)"/>
    <w:basedOn w:val="Normal"/>
    <w:uiPriority w:val="99"/>
    <w:semiHidden/>
    <w:unhideWhenUsed/>
    <w:rsid w:val="00586BB3"/>
    <w:rPr>
      <w:rFonts w:eastAsiaTheme="minorHAnsi"/>
      <w:lang w:eastAsia="en-GB"/>
    </w:rPr>
  </w:style>
  <w:style w:type="character" w:customStyle="1" w:styleId="UnresolvedMention1">
    <w:name w:val="Unresolved Mention1"/>
    <w:basedOn w:val="DefaultParagraphFont"/>
    <w:uiPriority w:val="99"/>
    <w:semiHidden/>
    <w:unhideWhenUsed/>
    <w:rsid w:val="00B02D83"/>
    <w:rPr>
      <w:color w:val="605E5C"/>
      <w:shd w:val="clear" w:color="auto" w:fill="E1DFDD"/>
    </w:rPr>
  </w:style>
  <w:style w:type="character" w:customStyle="1" w:styleId="marklgsm2m473">
    <w:name w:val="marklgsm2m473"/>
    <w:basedOn w:val="DefaultParagraphFont"/>
    <w:rsid w:val="00247B3B"/>
  </w:style>
  <w:style w:type="character" w:customStyle="1" w:styleId="markiefkyho9t">
    <w:name w:val="markiefkyho9t"/>
    <w:basedOn w:val="DefaultParagraphFont"/>
    <w:rsid w:val="00247B3B"/>
  </w:style>
  <w:style w:type="paragraph" w:customStyle="1" w:styleId="TableRow">
    <w:name w:val="TableRow"/>
    <w:rsid w:val="000C1BE6"/>
    <w:pPr>
      <w:suppressAutoHyphens/>
      <w:autoSpaceDN w:val="0"/>
      <w:spacing w:before="60" w:after="60" w:line="240" w:lineRule="auto"/>
      <w:ind w:left="57" w:right="57"/>
      <w:textAlignment w:val="baseline"/>
    </w:pPr>
    <w:rPr>
      <w:rFonts w:ascii="Arial" w:eastAsia="Times New Roman" w:hAnsi="Arial" w:cs="Times New Roman"/>
      <w:color w:val="0D0D0D"/>
      <w:sz w:val="24"/>
      <w:szCs w:val="24"/>
      <w:lang w:eastAsia="en-GB"/>
    </w:rPr>
  </w:style>
  <w:style w:type="character" w:styleId="PlaceholderText">
    <w:name w:val="Placeholder Text"/>
    <w:basedOn w:val="DefaultParagraphFont"/>
    <w:rsid w:val="000C1BE6"/>
    <w:rPr>
      <w:color w:val="808080"/>
    </w:rPr>
  </w:style>
  <w:style w:type="character" w:styleId="FollowedHyperlink">
    <w:name w:val="FollowedHyperlink"/>
    <w:basedOn w:val="DefaultParagraphFont"/>
    <w:uiPriority w:val="99"/>
    <w:semiHidden/>
    <w:unhideWhenUsed/>
    <w:rsid w:val="00CD53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8063">
      <w:bodyDiv w:val="1"/>
      <w:marLeft w:val="0"/>
      <w:marRight w:val="0"/>
      <w:marTop w:val="0"/>
      <w:marBottom w:val="0"/>
      <w:divBdr>
        <w:top w:val="none" w:sz="0" w:space="0" w:color="auto"/>
        <w:left w:val="none" w:sz="0" w:space="0" w:color="auto"/>
        <w:bottom w:val="none" w:sz="0" w:space="0" w:color="auto"/>
        <w:right w:val="none" w:sz="0" w:space="0" w:color="auto"/>
      </w:divBdr>
    </w:div>
    <w:div w:id="1619752508">
      <w:bodyDiv w:val="1"/>
      <w:marLeft w:val="0"/>
      <w:marRight w:val="0"/>
      <w:marTop w:val="0"/>
      <w:marBottom w:val="0"/>
      <w:divBdr>
        <w:top w:val="none" w:sz="0" w:space="0" w:color="auto"/>
        <w:left w:val="none" w:sz="0" w:space="0" w:color="auto"/>
        <w:bottom w:val="none" w:sz="0" w:space="0" w:color="auto"/>
        <w:right w:val="none" w:sz="0" w:space="0" w:color="auto"/>
      </w:divBdr>
    </w:div>
    <w:div w:id="2108572449">
      <w:bodyDiv w:val="1"/>
      <w:marLeft w:val="0"/>
      <w:marRight w:val="0"/>
      <w:marTop w:val="0"/>
      <w:marBottom w:val="0"/>
      <w:divBdr>
        <w:top w:val="none" w:sz="0" w:space="0" w:color="auto"/>
        <w:left w:val="none" w:sz="0" w:space="0" w:color="auto"/>
        <w:bottom w:val="none" w:sz="0" w:space="0" w:color="auto"/>
        <w:right w:val="none" w:sz="0" w:space="0" w:color="auto"/>
      </w:divBdr>
      <w:divsChild>
        <w:div w:id="541483007">
          <w:marLeft w:val="0"/>
          <w:marRight w:val="0"/>
          <w:marTop w:val="0"/>
          <w:marBottom w:val="0"/>
          <w:divBdr>
            <w:top w:val="none" w:sz="0" w:space="0" w:color="auto"/>
            <w:left w:val="none" w:sz="0" w:space="0" w:color="auto"/>
            <w:bottom w:val="none" w:sz="0" w:space="0" w:color="auto"/>
            <w:right w:val="none" w:sz="0" w:space="0" w:color="auto"/>
          </w:divBdr>
        </w:div>
        <w:div w:id="749042780">
          <w:marLeft w:val="0"/>
          <w:marRight w:val="0"/>
          <w:marTop w:val="0"/>
          <w:marBottom w:val="0"/>
          <w:divBdr>
            <w:top w:val="none" w:sz="0" w:space="0" w:color="auto"/>
            <w:left w:val="none" w:sz="0" w:space="0" w:color="auto"/>
            <w:bottom w:val="none" w:sz="0" w:space="0" w:color="auto"/>
            <w:right w:val="none" w:sz="0" w:space="0" w:color="auto"/>
          </w:divBdr>
        </w:div>
        <w:div w:id="1307053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Phonics%20report/DECEMBER%20SCREENING%20and%20new%20phonics%20and%20intervention%20groups.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Phonics%20report/Phonics%20and%20Reading%20review%20December%202020.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Pompey%20Pirates/Impact%20Anaylsis%20-%20Pompey%20Pirates.doc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R:\CATCH%20UP%20PLAN\Tutoring%20and%20Booster%20Groups\Remote%20learning%20evaluation%20Spring%20Term%20HS%20Report.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Phonics%20report/Catch%20up%20evaluations%20Autumn%20term%201%20and%202.doc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0FA0798DF9C64AA5688E7F8C090E6A" ma:contentTypeVersion="13" ma:contentTypeDescription="Create a new document." ma:contentTypeScope="" ma:versionID="9d10f06c45815f86e98c4ea82e892f40">
  <xsd:schema xmlns:xsd="http://www.w3.org/2001/XMLSchema" xmlns:xs="http://www.w3.org/2001/XMLSchema" xmlns:p="http://schemas.microsoft.com/office/2006/metadata/properties" xmlns:ns3="cfae5229-bfe5-4b00-8394-b1bd7daabeae" xmlns:ns4="8991b52c-0e8a-45c1-a8bc-e2b3549111c4" targetNamespace="http://schemas.microsoft.com/office/2006/metadata/properties" ma:root="true" ma:fieldsID="4122fe7a6120c383152d5675dcbe1b02" ns3:_="" ns4:_="">
    <xsd:import namespace="cfae5229-bfe5-4b00-8394-b1bd7daabeae"/>
    <xsd:import namespace="8991b52c-0e8a-45c1-a8bc-e2b3549111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e5229-bfe5-4b00-8394-b1bd7daabe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1b52c-0e8a-45c1-a8bc-e2b3549111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CE32D-BE98-45C1-9D20-DA0CE3C7F09D}">
  <ds:schemaRefs>
    <ds:schemaRef ds:uri="http://schemas.microsoft.com/sharepoint/v3/contenttype/forms"/>
  </ds:schemaRefs>
</ds:datastoreItem>
</file>

<file path=customXml/itemProps2.xml><?xml version="1.0" encoding="utf-8"?>
<ds:datastoreItem xmlns:ds="http://schemas.openxmlformats.org/officeDocument/2006/customXml" ds:itemID="{AA1E972D-5232-4F29-9DD7-F8C3E5D34825}">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8991b52c-0e8a-45c1-a8bc-e2b3549111c4"/>
    <ds:schemaRef ds:uri="cfae5229-bfe5-4b00-8394-b1bd7daabeae"/>
    <ds:schemaRef ds:uri="http://purl.org/dc/dcmitype/"/>
  </ds:schemaRefs>
</ds:datastoreItem>
</file>

<file path=customXml/itemProps3.xml><?xml version="1.0" encoding="utf-8"?>
<ds:datastoreItem xmlns:ds="http://schemas.openxmlformats.org/officeDocument/2006/customXml" ds:itemID="{057851AE-4ABE-4E52-8054-711BF9C44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e5229-bfe5-4b00-8394-b1bd7daabeae"/>
    <ds:schemaRef ds:uri="8991b52c-0e8a-45c1-a8bc-e2b354911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BB254-CB1D-44C9-9C76-C614DA08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9</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Divis</dc:creator>
  <cp:keywords/>
  <dc:description/>
  <cp:lastModifiedBy>Anitha Venugopal</cp:lastModifiedBy>
  <cp:revision>23</cp:revision>
  <dcterms:created xsi:type="dcterms:W3CDTF">2021-03-10T12:22:00Z</dcterms:created>
  <dcterms:modified xsi:type="dcterms:W3CDTF">2022-05-04T10:52:00Z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0x010100400FA0798DF9C64AA5688E7F8C090E6A</vt:lpwstr>
  </property>
</Properties>
</file>